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-1440" w:right="1051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5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7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15" w:line="259" w:lineRule="auto"/>
        <w:ind w:left="0" w:right="8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7" w:line="259" w:lineRule="auto"/>
        <w:ind w:left="0" w:right="8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5" w:line="259" w:lineRule="auto"/>
        <w:ind w:left="0" w:right="8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17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15" w:line="259" w:lineRule="auto"/>
        <w:ind w:left="0" w:right="8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0" w:right="8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5" w:line="259" w:lineRule="auto"/>
        <w:ind w:left="0" w:right="8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7" w:line="259" w:lineRule="auto"/>
        <w:ind w:left="0" w:right="8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1" w:line="259" w:lineRule="auto"/>
        <w:ind w:left="0" w:right="890" w:firstLine="0"/>
        <w:jc w:val="center"/>
        <w:rPr/>
      </w:pPr>
      <w:r w:rsidDel="00000000" w:rsidR="00000000" w:rsidRPr="00000000">
        <w:rPr>
          <w:color w:val="3333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50" w:line="259" w:lineRule="auto"/>
        <w:ind w:left="0" w:right="879" w:firstLine="0"/>
        <w:jc w:val="center"/>
        <w:rPr/>
      </w:pPr>
      <w:r w:rsidDel="00000000" w:rsidR="00000000" w:rsidRPr="00000000">
        <w:rPr>
          <w:color w:val="3333ff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line="259" w:lineRule="auto"/>
        <w:ind w:left="458" w:right="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REGULAMENTO DO PROGRAMA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61" w:lineRule="auto"/>
        <w:ind w:left="0" w:right="0" w:firstLine="0"/>
        <w:jc w:val="center"/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VALORIZAÇÃO À PESQUISA, ENSINO E EXTENSÃO (PVPE)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15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color w:val="3333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17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color w:val="3333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15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17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15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17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15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17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15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17" w:line="259" w:lineRule="auto"/>
        <w:ind w:left="3447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15" w:line="259" w:lineRule="auto"/>
        <w:ind w:left="3447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7" w:line="259" w:lineRule="auto"/>
        <w:ind w:left="2933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line="259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Cuiabá/2022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0" w:right="9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ind w:left="0" w:right="9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ind w:left="0" w:right="9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Sumário 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tabs>
              <w:tab w:val="right" w:pos="9309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I – DAS DISPOSIÇÕES PRELIMINARES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9309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II – DOS OBJETIVOS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pos="9309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ilt7vph4y6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III – DOS BENEFICIÁRIOS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_heading=h.hilt7vph4y63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right" w:pos="9309.511811023624"/>
            </w:tabs>
            <w:spacing w:before="200" w:line="240" w:lineRule="auto"/>
            <w:ind w:left="0" w:firstLine="0"/>
            <w:rPr>
              <w:sz w:val="24"/>
              <w:szCs w:val="24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IV – DO FOMENTO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09.511811023624"/>
            </w:tabs>
            <w:spacing w:after="118" w:before="200" w:line="240" w:lineRule="auto"/>
            <w:ind w:left="0" w:right="6" w:firstLine="0"/>
            <w:jc w:val="both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  <w:t xml:space="preserve">TÍTULO V – DOS ITENS FINANCIÁVEIS PELA 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TAXA</w:t>
          </w:r>
          <w:r w:rsidDel="00000000" w:rsidR="00000000" w:rsidRPr="00000000">
            <w:rPr>
              <w:rtl w:val="0"/>
            </w:rPr>
            <w:t xml:space="preserve"> DE BANCADA                                       </w:t>
          </w:r>
          <w:r w:rsidDel="00000000" w:rsidR="00000000" w:rsidRPr="00000000">
            <w:rPr>
              <w:b w:val="1"/>
              <w:rtl w:val="0"/>
            </w:rPr>
            <w:t xml:space="preserve">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right" w:pos="9309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VI – DA UTILIZAÇÃO DOS RECURSOS FINANCEIROS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pos="9309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VII – DO ACOMPANHAMENTO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pos="9309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VIII – DA PRESTAÇÃO DE CONTAS E CUMPRIMENTO DE OBJETO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9309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IX – DA INADIMPLÊNCIA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pos="9309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X – DAS DISPOSIÇÕES FINAIS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pos="9309.511811023624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mkkrfll682xx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I – Tabela de Valores de Referência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_heading=h.mkkrfll682xx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B">
      <w:pPr>
        <w:spacing w:after="112" w:line="259" w:lineRule="auto"/>
        <w:ind w:left="61" w:right="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ind w:left="4659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19" w:line="259" w:lineRule="auto"/>
        <w:ind w:left="61" w:right="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right="1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TÍTULO I – DAS DISPOSIÇÕES PRELIMINARES </w:t>
      </w:r>
    </w:p>
    <w:p w:rsidR="00000000" w:rsidDel="00000000" w:rsidP="00000000" w:rsidRDefault="00000000" w:rsidRPr="00000000" w14:paraId="0000002F">
      <w:pPr>
        <w:spacing w:after="129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5" w:right="0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Art. 1°</w:t>
      </w:r>
      <w:r w:rsidDel="00000000" w:rsidR="00000000" w:rsidRPr="00000000">
        <w:rPr>
          <w:rtl w:val="0"/>
        </w:rPr>
        <w:t xml:space="preserve"> Este Regulamento apresenta as diretrizes para o Programa de Valorização à Pesquisa, Ensino e </w:t>
      </w:r>
      <w:r w:rsidDel="00000000" w:rsidR="00000000" w:rsidRPr="00000000">
        <w:rPr>
          <w:rtl w:val="0"/>
        </w:rPr>
        <w:t xml:space="preserve">Extensão</w:t>
      </w:r>
      <w:r w:rsidDel="00000000" w:rsidR="00000000" w:rsidRPr="00000000">
        <w:rPr>
          <w:rtl w:val="0"/>
        </w:rPr>
        <w:t xml:space="preserve"> – PVPE, através da concessão de recursos financeiros para projetos selecionados no Instituto Federal de Educação, Ciência e Tecnologia d</w:t>
      </w:r>
      <w:r w:rsidDel="00000000" w:rsidR="00000000" w:rsidRPr="00000000">
        <w:rPr>
          <w:highlight w:val="white"/>
          <w:rtl w:val="0"/>
        </w:rPr>
        <w:t xml:space="preserve">e Mato Grosso – IFMT.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" w:right="0" w:firstLine="0"/>
        <w:rPr/>
      </w:pPr>
      <w:r w:rsidDel="00000000" w:rsidR="00000000" w:rsidRPr="00000000">
        <w:rPr>
          <w:b w:val="1"/>
          <w:highlight w:val="white"/>
          <w:rtl w:val="0"/>
        </w:rPr>
        <w:t xml:space="preserve">Art. 2°</w:t>
      </w:r>
      <w:r w:rsidDel="00000000" w:rsidR="00000000" w:rsidRPr="00000000">
        <w:rPr>
          <w:highlight w:val="white"/>
          <w:rtl w:val="0"/>
        </w:rPr>
        <w:t xml:space="preserve"> As normas que regulamentam este Programa consideram a produção científica, transferência de tecnologia, ações comunitárias e intercâmbios de conhecimento c</w:t>
      </w:r>
      <w:r w:rsidDel="00000000" w:rsidR="00000000" w:rsidRPr="00000000">
        <w:rPr>
          <w:rtl w:val="0"/>
        </w:rPr>
        <w:t xml:space="preserve">omo uma condição necessária para a evolução quantitativa e qualitativa da instituição.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61" w:lineRule="auto"/>
        <w:ind w:left="-5" w:right="0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Art. 3°</w:t>
      </w:r>
      <w:r w:rsidDel="00000000" w:rsidR="00000000" w:rsidRPr="00000000">
        <w:rPr>
          <w:rtl w:val="0"/>
        </w:rPr>
        <w:t xml:space="preserve"> O Programa encontra-se respaldado nas metas do Plano de Desenvolvimento Institucional </w:t>
      </w:r>
      <w:r w:rsidDel="00000000" w:rsidR="00000000" w:rsidRPr="00000000">
        <w:rPr>
          <w:highlight w:val="white"/>
          <w:rtl w:val="0"/>
        </w:rPr>
        <w:t xml:space="preserve">vigente, </w:t>
      </w:r>
      <w:r w:rsidDel="00000000" w:rsidR="00000000" w:rsidRPr="00000000">
        <w:rPr>
          <w:rtl w:val="0"/>
        </w:rPr>
        <w:t xml:space="preserve">bem como em observância aos enunc</w:t>
      </w:r>
      <w:r w:rsidDel="00000000" w:rsidR="00000000" w:rsidRPr="00000000">
        <w:rPr>
          <w:highlight w:val="white"/>
          <w:rtl w:val="0"/>
        </w:rPr>
        <w:t xml:space="preserve">iados na Portaria nº 512, de 13 de junho de 2022, da Secretaria de Educação Profissional e Tecnológica – SETEC, na Lei nº 8.958, de 20 de dezembro de 1994, na Lei nº 10.973, de 2 de dezembro de 2004, na Lei nº 13.243, de 11 de janeiro de 2016, na Lei nº 11.892, de 29 de dezembro de 2008 e no Decreto nº 8.240, de 21 de maio de 2014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ind w:right="4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TÍTULO II – DOS OBJETIVOS </w:t>
      </w:r>
    </w:p>
    <w:p w:rsidR="00000000" w:rsidDel="00000000" w:rsidP="00000000" w:rsidRDefault="00000000" w:rsidRPr="00000000" w14:paraId="00000034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4º </w:t>
      </w:r>
      <w:r w:rsidDel="00000000" w:rsidR="00000000" w:rsidRPr="00000000">
        <w:rPr>
          <w:rtl w:val="0"/>
        </w:rPr>
        <w:t xml:space="preserve">O Programa de Incentivo Financeiro à Pesquisa, Ensino e Extensão tem os seguintes objetivos: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Fomentar as atividades da </w:t>
      </w:r>
      <w:r w:rsidDel="00000000" w:rsidR="00000000" w:rsidRPr="00000000">
        <w:rPr>
          <w:rtl w:val="0"/>
        </w:rPr>
        <w:t xml:space="preserve">pesquisa, ensino e extensão</w:t>
      </w:r>
      <w:r w:rsidDel="00000000" w:rsidR="00000000" w:rsidRPr="00000000">
        <w:rPr>
          <w:rtl w:val="0"/>
        </w:rPr>
        <w:t xml:space="preserve"> que atendam aos objetivos legais do IFMT;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985" w:right="0" w:hanging="732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Estimular a produção e publicação de artigos científicos de pesquisa e extensão, </w:t>
      </w:r>
      <w:r w:rsidDel="00000000" w:rsidR="00000000" w:rsidRPr="00000000">
        <w:rPr>
          <w:highlight w:val="white"/>
          <w:rtl w:val="0"/>
        </w:rPr>
        <w:t xml:space="preserve">bem como a produção de materiais e produções culturais, instrucionais de apoio pedagógicos e/ou resultados dos processos de ensino-aprendizagem</w:t>
      </w:r>
      <w:r w:rsidDel="00000000" w:rsidR="00000000" w:rsidRPr="00000000">
        <w:rPr>
          <w:highlight w:val="white"/>
          <w:rtl w:val="0"/>
        </w:rPr>
        <w:t xml:space="preserve">; 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Estimular a formação e consolidação de Grupos de Pesquisa e de Grupos de </w:t>
      </w:r>
      <w:r w:rsidDel="00000000" w:rsidR="00000000" w:rsidRPr="00000000">
        <w:rPr>
          <w:rtl w:val="0"/>
        </w:rPr>
        <w:t xml:space="preserve">Extensão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Contribuir para o desenvolvimento regional, constituindo um vínculo que estabeleça troca de saberes, conhecimentos e experiências;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Buscar interação sistematizada com a comunidade, por meio da participação de servidores e estudantes em ações integradas com instituições públicas e privadas e com as entidades da sociedade civil;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Articular com a Agência de Inovação Tecnológica </w:t>
      </w:r>
      <w:r w:rsidDel="00000000" w:rsidR="00000000" w:rsidRPr="00000000">
        <w:rPr>
          <w:highlight w:val="white"/>
          <w:rtl w:val="0"/>
        </w:rPr>
        <w:t xml:space="preserve">– AIT parc</w:t>
      </w:r>
      <w:r w:rsidDel="00000000" w:rsidR="00000000" w:rsidRPr="00000000">
        <w:rPr>
          <w:rtl w:val="0"/>
        </w:rPr>
        <w:t xml:space="preserve">erias com a sociedade para a concretização de projetos da pesquisa, ensino e extensão com natureza de inovação tecnológica e social;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Incentivar projetos de </w:t>
      </w:r>
      <w:r w:rsidDel="00000000" w:rsidR="00000000" w:rsidRPr="00000000">
        <w:rPr>
          <w:rtl w:val="0"/>
        </w:rPr>
        <w:t xml:space="preserve">pesquisa</w:t>
      </w:r>
      <w:r w:rsidDel="00000000" w:rsidR="00000000" w:rsidRPr="00000000">
        <w:rPr>
          <w:rtl w:val="0"/>
        </w:rPr>
        <w:t xml:space="preserve">, ensino e extensão que envolvam </w:t>
      </w:r>
      <w:r w:rsidDel="00000000" w:rsidR="00000000" w:rsidRPr="00000000">
        <w:rPr>
          <w:highlight w:val="white"/>
          <w:rtl w:val="0"/>
        </w:rPr>
        <w:t xml:space="preserve">as diferentes </w:t>
      </w:r>
      <w:r w:rsidDel="00000000" w:rsidR="00000000" w:rsidRPr="00000000">
        <w:rPr>
          <w:highlight w:val="white"/>
          <w:rtl w:val="0"/>
        </w:rPr>
        <w:t xml:space="preserve">unidades do IFMT em ações interinstitucionais, integrando diferentes áreas para o atendimento das demandas locais e regionais;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Incentivar projetos de </w:t>
      </w:r>
      <w:r w:rsidDel="00000000" w:rsidR="00000000" w:rsidRPr="00000000">
        <w:rPr>
          <w:rtl w:val="0"/>
        </w:rPr>
        <w:t xml:space="preserve">pesquisa</w:t>
      </w:r>
      <w:r w:rsidDel="00000000" w:rsidR="00000000" w:rsidRPr="00000000">
        <w:rPr>
          <w:rtl w:val="0"/>
        </w:rPr>
        <w:t xml:space="preserve">, ensino e extensão no âmbito internacional, com o intuito de proporcionar desenvolvimento intercultural e acadêmico na comunidade do IFMT;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Promover a geração de produtos, processos e/ou serviços inovadores.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985" w:right="0" w:hanging="732"/>
        <w:rPr/>
      </w:pPr>
      <w:r w:rsidDel="00000000" w:rsidR="00000000" w:rsidRPr="00000000">
        <w:rPr>
          <w:rtl w:val="0"/>
        </w:rPr>
        <w:t xml:space="preserve">Fortalecer a divulgação dos resultados para a sociedade;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985" w:right="0" w:hanging="732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Favorecer a capacitação de comunidades tradicionais, coletivos e pessoas em situação de vulnerabilidade socioeconômica, jovens em busca do primeiro emprego, estudantes e egressos de escolas públicas, visando à inserção socioprofissional, inclusão produtiva e a ampliação das vivências culturais.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985" w:right="0" w:hanging="732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Fortalecer ações de empreendedorismo, a modelagem de negócios e a incubação de empresas.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73" w:line="259" w:lineRule="auto"/>
        <w:ind w:left="85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pacing w:after="111" w:lineRule="auto"/>
        <w:ind w:left="720" w:right="0" w:firstLine="0"/>
        <w:rPr/>
      </w:pPr>
      <w:bookmarkStart w:colFirst="0" w:colLast="0" w:name="_heading=h.hilt7vph4y63" w:id="3"/>
      <w:bookmarkEnd w:id="3"/>
      <w:r w:rsidDel="00000000" w:rsidR="00000000" w:rsidRPr="00000000">
        <w:rPr>
          <w:rtl w:val="0"/>
        </w:rPr>
        <w:t xml:space="preserve">TÍTULO III </w:t>
      </w:r>
      <w:r w:rsidDel="00000000" w:rsidR="00000000" w:rsidRPr="00000000">
        <w:rPr>
          <w:strike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DOS BENEFICIÁRIOS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5º </w:t>
      </w:r>
      <w:r w:rsidDel="00000000" w:rsidR="00000000" w:rsidRPr="00000000">
        <w:rPr>
          <w:rtl w:val="0"/>
        </w:rPr>
        <w:t xml:space="preserve">Poderão ser beneficiários das bolsas e demais recursos referidos neste Regulamento: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906" w:right="0" w:hanging="610"/>
        <w:rPr/>
      </w:pPr>
      <w:r w:rsidDel="00000000" w:rsidR="00000000" w:rsidRPr="00000000">
        <w:rPr>
          <w:rtl w:val="0"/>
        </w:rPr>
        <w:t xml:space="preserve">Servidores públicos federais, estaduais, distritais e/ou municipais, ativos ou inativos, civis ou militares, pertencentes ao quadro de pessoal da administração direta, autárquica ou fundacional;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906" w:right="0" w:hanging="610"/>
        <w:rPr/>
      </w:pPr>
      <w:r w:rsidDel="00000000" w:rsidR="00000000" w:rsidRPr="00000000">
        <w:rPr>
          <w:rtl w:val="0"/>
        </w:rPr>
        <w:t xml:space="preserve">Empregados ou funcionários ativos vinculados a empresas públicas ou privadas, nacionais ou internacionais, que possuam cooperação com o IFMT;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906" w:right="0" w:hanging="61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Estu</w:t>
      </w:r>
      <w:r w:rsidDel="00000000" w:rsidR="00000000" w:rsidRPr="00000000">
        <w:rPr>
          <w:highlight w:val="white"/>
          <w:rtl w:val="0"/>
        </w:rPr>
        <w:t xml:space="preserve">dantes</w:t>
      </w:r>
      <w:r w:rsidDel="00000000" w:rsidR="00000000" w:rsidRPr="00000000">
        <w:rPr>
          <w:highlight w:val="white"/>
          <w:rtl w:val="0"/>
        </w:rPr>
        <w:t xml:space="preserve"> do IFMT matriculados em curso de formação inicial e continuada, cursos técnicos de nível médio, de grad</w:t>
      </w:r>
      <w:r w:rsidDel="00000000" w:rsidR="00000000" w:rsidRPr="00000000">
        <w:rPr>
          <w:rtl w:val="0"/>
        </w:rPr>
        <w:t xml:space="preserve">uação e pós-graduação;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906" w:right="0" w:hanging="61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Profissionais autônomos ou aposentados de comprovada capacidade técnica relativa ao escopo deste programa;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906" w:right="0" w:hanging="61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Estudantes egressos do IFMT. </w:t>
      </w:r>
    </w:p>
    <w:p w:rsidR="00000000" w:rsidDel="00000000" w:rsidP="00000000" w:rsidRDefault="00000000" w:rsidRPr="00000000" w14:paraId="00000049">
      <w:pPr>
        <w:ind w:left="-5" w:right="114" w:firstLine="0"/>
        <w:rPr/>
      </w:pPr>
      <w:r w:rsidDel="00000000" w:rsidR="00000000" w:rsidRPr="00000000">
        <w:rPr>
          <w:b w:val="1"/>
          <w:rtl w:val="0"/>
        </w:rPr>
        <w:t xml:space="preserve">Art. 6º </w:t>
      </w:r>
      <w:r w:rsidDel="00000000" w:rsidR="00000000" w:rsidRPr="00000000">
        <w:rPr>
          <w:rtl w:val="0"/>
        </w:rPr>
        <w:t xml:space="preserve">A seleção dos beneficiários se dará, exclusivamente, por meio de edital, constando inclusive: tipo, quantidade e valor de auxílio financeiro; fundamentação legal (normativas internas e externas); identificação de programa institucional (se houver); modalidade(s) de beneficiário(s); duração máxima de execução do projeto, fontes orçamentárias dos recursos; montante total dos recursos disponibilizados (no edital específico); modelo de projeto e plano de trabalho (se houver), local de protocolo do projeto, cronograma de inscrição, avaliação e divulgação da seleção; e impedimentos para inadimplentes.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7º </w:t>
      </w:r>
      <w:r w:rsidDel="00000000" w:rsidR="00000000" w:rsidRPr="00000000">
        <w:rPr>
          <w:rtl w:val="0"/>
        </w:rPr>
        <w:t xml:space="preserve">Os beneficiários do programa, quanto aos tipos de bolsa, em observ</w:t>
      </w:r>
      <w:r w:rsidDel="00000000" w:rsidR="00000000" w:rsidRPr="00000000">
        <w:rPr>
          <w:highlight w:val="white"/>
          <w:rtl w:val="0"/>
        </w:rPr>
        <w:t xml:space="preserve">ância à </w:t>
      </w:r>
      <w:r w:rsidDel="00000000" w:rsidR="00000000" w:rsidRPr="00000000">
        <w:rPr>
          <w:highlight w:val="white"/>
          <w:rtl w:val="0"/>
        </w:rPr>
        <w:t xml:space="preserve">Portaria MEC/SETEC nº 512 de 13 de junho de 20</w:t>
      </w:r>
      <w:r w:rsidDel="00000000" w:rsidR="00000000" w:rsidRPr="00000000">
        <w:rPr>
          <w:highlight w:val="white"/>
          <w:rtl w:val="0"/>
        </w:rPr>
        <w:t xml:space="preserve">22</w:t>
      </w:r>
      <w:r w:rsidDel="00000000" w:rsidR="00000000" w:rsidRPr="00000000">
        <w:rPr>
          <w:rtl w:val="0"/>
        </w:rPr>
        <w:t xml:space="preserve">, poderão enquadrar-se como: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ind w:left="985" w:right="0" w:hanging="732"/>
        <w:rPr/>
      </w:pPr>
      <w:r w:rsidDel="00000000" w:rsidR="00000000" w:rsidRPr="00000000">
        <w:rPr>
          <w:b w:val="1"/>
          <w:rtl w:val="0"/>
        </w:rPr>
        <w:t xml:space="preserve">Gestor de programa ou projeto:</w:t>
      </w:r>
      <w:r w:rsidDel="00000000" w:rsidR="00000000" w:rsidRPr="00000000">
        <w:rPr>
          <w:rtl w:val="0"/>
        </w:rPr>
        <w:t xml:space="preserve"> profissional responsável pela captação de parceiros, administração dos contratos de parcerias e pela gestão do programa ou projeto, devendo possuir escolaridade mínima em nível de graduação e no mínimo dois anos de experiência em gestão de projetos de pesquisa, de extensão tecnológica, de desenvolvimento ou de inovação;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ind w:left="985" w:right="0" w:hanging="732"/>
        <w:rPr/>
      </w:pPr>
      <w:r w:rsidDel="00000000" w:rsidR="00000000" w:rsidRPr="00000000">
        <w:rPr>
          <w:b w:val="1"/>
          <w:rtl w:val="0"/>
        </w:rPr>
        <w:t xml:space="preserve">Coordenador de programa ou projeto:</w:t>
      </w:r>
      <w:r w:rsidDel="00000000" w:rsidR="00000000" w:rsidRPr="00000000">
        <w:rPr>
          <w:rtl w:val="0"/>
        </w:rPr>
        <w:t xml:space="preserve"> profissional responsável pela elaboração, pelo planejamento, execução, coordenação do programa ou projeto, pela apresentação dos resultados aos parceiros e pela elaboração da prestação de contas, devendo possuir escolaridade mínima em nível de graduação e conhecimento específico sobre o tema do projeto, convênios, contratos, gestão de pessoas e gestão de recursos físicos e financeiros; 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985" w:right="0" w:hanging="732"/>
        <w:rPr/>
      </w:pPr>
      <w:r w:rsidDel="00000000" w:rsidR="00000000" w:rsidRPr="00000000">
        <w:rPr>
          <w:b w:val="1"/>
          <w:rtl w:val="0"/>
        </w:rPr>
        <w:t xml:space="preserve">Pesquisador:</w:t>
      </w:r>
      <w:r w:rsidDel="00000000" w:rsidR="00000000" w:rsidRPr="00000000">
        <w:rPr>
          <w:rtl w:val="0"/>
        </w:rPr>
        <w:t xml:space="preserve"> profissional responsável pela execução do projeto de pesquisa e pela orientação da equipe, devendo possuir escolaridade mínima em nível de graduação, conhecimento específico sobre o tema da pesquisa e habilidade de gerenciar equipes de trabalho predominantemente composta por estudantes;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985" w:right="0" w:hanging="732"/>
        <w:rPr/>
      </w:pPr>
      <w:r w:rsidDel="00000000" w:rsidR="00000000" w:rsidRPr="00000000">
        <w:rPr>
          <w:b w:val="1"/>
          <w:rtl w:val="0"/>
        </w:rPr>
        <w:t xml:space="preserve">Extensionista:</w:t>
      </w:r>
      <w:r w:rsidDel="00000000" w:rsidR="00000000" w:rsidRPr="00000000">
        <w:rPr>
          <w:rtl w:val="0"/>
        </w:rPr>
        <w:t xml:space="preserve"> responsável pelo suporte técnico à elaboração do projeto, pelo planejamento e execução do projeto de extensão, pela coordenação e orientação da equipe e pela apresentação de resultados aos parceiros, junto ao Gestor de Projetos, devendo ter conhecimento específico sobre o tema do projeto de extensão, além da habilidade de gerenciar equipes de trabalho predominantemente compostas por estudantes;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985" w:right="0" w:hanging="732"/>
        <w:rPr/>
      </w:pPr>
      <w:r w:rsidDel="00000000" w:rsidR="00000000" w:rsidRPr="00000000">
        <w:rPr>
          <w:b w:val="1"/>
          <w:rtl w:val="0"/>
        </w:rPr>
        <w:t xml:space="preserve">Colaborador externo:</w:t>
      </w:r>
      <w:r w:rsidDel="00000000" w:rsidR="00000000" w:rsidRPr="00000000">
        <w:rPr>
          <w:rtl w:val="0"/>
        </w:rPr>
        <w:t xml:space="preserve"> profissional sem vínculo com o IFMT, cuja expertise é essencial para a complementação da competência da equipe, visando contribuir para a eficácia do projeto;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ind w:left="985" w:right="0" w:hanging="732"/>
        <w:rPr/>
      </w:pPr>
      <w:r w:rsidDel="00000000" w:rsidR="00000000" w:rsidRPr="00000000">
        <w:rPr>
          <w:b w:val="1"/>
          <w:rtl w:val="0"/>
        </w:rPr>
        <w:t xml:space="preserve">Estudante:</w:t>
      </w:r>
      <w:r w:rsidDel="00000000" w:rsidR="00000000" w:rsidRPr="00000000">
        <w:rPr>
          <w:rtl w:val="0"/>
        </w:rPr>
        <w:t xml:space="preserve"> cidadão ou profissional em processo de aprendizagem, matriculado ou em cooperação, responsável pela execução das atividades do projeto, com a supervisão e orientação direta do pesquisador ou do extensionist</w:t>
      </w:r>
      <w:r w:rsidDel="00000000" w:rsidR="00000000" w:rsidRPr="00000000">
        <w:rPr>
          <w:rtl w:val="0"/>
        </w:rPr>
        <w:t xml:space="preserve">a;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985" w:right="0" w:hanging="732"/>
        <w:rPr/>
      </w:pPr>
      <w:r w:rsidDel="00000000" w:rsidR="00000000" w:rsidRPr="00000000">
        <w:rPr>
          <w:b w:val="1"/>
          <w:rtl w:val="0"/>
        </w:rPr>
        <w:t xml:space="preserve">Intercambista: </w:t>
      </w:r>
      <w:r w:rsidDel="00000000" w:rsidR="00000000" w:rsidRPr="00000000">
        <w:rPr>
          <w:rtl w:val="0"/>
        </w:rPr>
        <w:t xml:space="preserve">profissional ou estudante, responsável pelo desenvolvimento das atividades previstas no projeto de intercâmbio, sendo que o intercambista profissional, brasileiro ou estrangeiro, deve possuir qualificação que complemente a competência da equipe em aspectos pontuais e temporários e o intercambista estudante é o cidadão ou profissional em processo de aprendizagem, que demanda a convivência em ambientes estimulantes, gerando novas referências para a sua formação profissional.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64" w:lineRule="auto"/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Parágrafo único.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Gestor de Programa e o</w:t>
      </w:r>
      <w:r w:rsidDel="00000000" w:rsidR="00000000" w:rsidRPr="00000000">
        <w:rPr>
          <w:highlight w:val="white"/>
          <w:rtl w:val="0"/>
        </w:rPr>
        <w:t xml:space="preserve"> Gestor de Projeto deverão ser </w:t>
      </w:r>
      <w:r w:rsidDel="00000000" w:rsidR="00000000" w:rsidRPr="00000000">
        <w:rPr>
          <w:rtl w:val="0"/>
        </w:rPr>
        <w:t xml:space="preserve">indicados e nomeados pelo Reitor do IFMT.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ind w:right="4"/>
        <w:rPr/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  <w:t xml:space="preserve">TÍTULO IV – DO FOMENTO </w:t>
      </w:r>
    </w:p>
    <w:p w:rsidR="00000000" w:rsidDel="00000000" w:rsidP="00000000" w:rsidRDefault="00000000" w:rsidRPr="00000000" w14:paraId="00000054">
      <w:pPr>
        <w:spacing w:after="22" w:lineRule="auto"/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8º </w:t>
      </w:r>
      <w:r w:rsidDel="00000000" w:rsidR="00000000" w:rsidRPr="00000000">
        <w:rPr>
          <w:rtl w:val="0"/>
        </w:rPr>
        <w:t xml:space="preserve">Para realização dos investimentos no Programa de Incentivo Financeiro à Pesquisa, Ensino e Extensão, os recursos podem ser oriundos de parceiros ou do orçamento próprio do </w:t>
      </w:r>
    </w:p>
    <w:p w:rsidR="00000000" w:rsidDel="00000000" w:rsidP="00000000" w:rsidRDefault="00000000" w:rsidRPr="00000000" w14:paraId="00000055">
      <w:pPr>
        <w:spacing w:after="43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IFMT, previstos na natureza de despesa 33.90.20 – “Auxílio Financeiro a Pesquisador”, para as despesas com custeio dos projetos / programas e bolsa para servidor, despesa 44.90.20 – </w:t>
      </w:r>
    </w:p>
    <w:p w:rsidR="00000000" w:rsidDel="00000000" w:rsidP="00000000" w:rsidRDefault="00000000" w:rsidRPr="00000000" w14:paraId="00000056">
      <w:pPr>
        <w:ind w:left="-5" w:right="0" w:firstLine="0"/>
        <w:rPr/>
      </w:pPr>
      <w:r w:rsidDel="00000000" w:rsidR="00000000" w:rsidRPr="00000000">
        <w:rPr>
          <w:rtl w:val="0"/>
        </w:rPr>
        <w:t xml:space="preserve">“Auxílio Financeiro a Pesquisador”, para as despesas com capital e 33.90.18 – “Auxílio Financeiro a Estudante” para despesas com bolsa de estudante.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9° </w:t>
      </w:r>
      <w:r w:rsidDel="00000000" w:rsidR="00000000" w:rsidRPr="00000000">
        <w:rPr>
          <w:rtl w:val="0"/>
        </w:rPr>
        <w:t xml:space="preserve">O fomento às atividades de pesquisa, ensino e extensão, dos projetos aprovados, ocorrerá pela concessão dos seguintes auxílios financeiros: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139" w:line="259" w:lineRule="auto"/>
        <w:ind w:left="720" w:right="0" w:hanging="605"/>
        <w:rPr/>
      </w:pPr>
      <w:r w:rsidDel="00000000" w:rsidR="00000000" w:rsidRPr="00000000">
        <w:rPr>
          <w:b w:val="1"/>
          <w:rtl w:val="0"/>
        </w:rPr>
        <w:t xml:space="preserve">Bolsa:</w:t>
      </w:r>
      <w:r w:rsidDel="00000000" w:rsidR="00000000" w:rsidRPr="00000000">
        <w:rPr>
          <w:rtl w:val="0"/>
        </w:rPr>
        <w:t xml:space="preserve"> pago a título de incentivo aos beneficiários listados no art. 5º deste regulamento;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right="0" w:hanging="605"/>
        <w:rPr/>
      </w:pPr>
      <w:r w:rsidDel="00000000" w:rsidR="00000000" w:rsidRPr="00000000">
        <w:rPr>
          <w:b w:val="1"/>
          <w:rtl w:val="0"/>
        </w:rPr>
        <w:t xml:space="preserve">Taxa de bancada (TB):</w:t>
      </w:r>
      <w:r w:rsidDel="00000000" w:rsidR="00000000" w:rsidRPr="00000000">
        <w:rPr>
          <w:rtl w:val="0"/>
        </w:rPr>
        <w:t xml:space="preserve"> destinado especificamente para custear as despesas com a execução e aperfeiçoamento dos projetos, inclusive os vinculados a programas institucionais devidamente aprovados em editais;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right="0" w:hanging="605"/>
        <w:rPr/>
      </w:pPr>
      <w:r w:rsidDel="00000000" w:rsidR="00000000" w:rsidRPr="00000000">
        <w:rPr>
          <w:b w:val="1"/>
          <w:rtl w:val="0"/>
        </w:rPr>
        <w:t xml:space="preserve">Auxílio financeiro a publicações (AFP):</w:t>
      </w:r>
      <w:r w:rsidDel="00000000" w:rsidR="00000000" w:rsidRPr="00000000">
        <w:rPr>
          <w:rtl w:val="0"/>
        </w:rPr>
        <w:t xml:space="preserve"> destinado especificamente para atender aos gastos com publicações, incluindo revisão de texto, tradução e taxas para publicação em revistas científicas.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§1°</w:t>
      </w:r>
      <w:r w:rsidDel="00000000" w:rsidR="00000000" w:rsidRPr="00000000">
        <w:rPr>
          <w:rtl w:val="0"/>
        </w:rPr>
        <w:t xml:space="preserve"> O benefício descrito no inciso III poderá ser concedido por meio de ressarcimento após a comprovação da despesa, desde que realizada no período de vigência do Edital.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§2º</w:t>
      </w:r>
      <w:r w:rsidDel="00000000" w:rsidR="00000000" w:rsidRPr="00000000">
        <w:rPr>
          <w:rtl w:val="0"/>
        </w:rPr>
        <w:t xml:space="preserve"> Os recursos descritos nos incisos II poderão ser aplicados em despesas de custeio e/ou de capital.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§3º</w:t>
      </w:r>
      <w:r w:rsidDel="00000000" w:rsidR="00000000" w:rsidRPr="00000000">
        <w:rPr>
          <w:rtl w:val="0"/>
        </w:rPr>
        <w:t xml:space="preserve"> Os valores das bolsas serão calculados</w:t>
      </w:r>
      <w:r w:rsidDel="00000000" w:rsidR="00000000" w:rsidRPr="00000000">
        <w:rPr>
          <w:rtl w:val="0"/>
        </w:rPr>
        <w:t xml:space="preserve"> a partir dos valores orientados pelo Conselho Nacional de Desenvolvimento Científico e Tecnológico – </w:t>
      </w:r>
      <w:r w:rsidDel="00000000" w:rsidR="00000000" w:rsidRPr="00000000">
        <w:rPr>
          <w:rtl w:val="0"/>
        </w:rPr>
        <w:t xml:space="preserve">CNPq.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5" w:right="0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Art. 10.</w:t>
      </w:r>
      <w:r w:rsidDel="00000000" w:rsidR="00000000" w:rsidRPr="00000000">
        <w:rPr>
          <w:rtl w:val="0"/>
        </w:rPr>
        <w:t xml:space="preserve"> Os valores do auxílio financeiro das bolsas serão definidos de acordo com o projeto e </w:t>
      </w:r>
      <w:r w:rsidDel="00000000" w:rsidR="00000000" w:rsidRPr="00000000">
        <w:rPr>
          <w:highlight w:val="white"/>
          <w:rtl w:val="0"/>
        </w:rPr>
        <w:t xml:space="preserve">terão como referência as normativas do CNPq.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-5" w:right="0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§1º</w:t>
      </w:r>
      <w:r w:rsidDel="00000000" w:rsidR="00000000" w:rsidRPr="00000000">
        <w:rPr>
          <w:highlight w:val="white"/>
          <w:rtl w:val="0"/>
        </w:rPr>
        <w:t xml:space="preserve"> A bolsa citada no art. 5º, incisos I, II e III, ficará limitada à carga horária máxima de vinte horas semanais, para os servidores ativos.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5" w:right="0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§2º</w:t>
      </w:r>
      <w:r w:rsidDel="00000000" w:rsidR="00000000" w:rsidRPr="00000000">
        <w:rPr>
          <w:highlight w:val="white"/>
          <w:rtl w:val="0"/>
        </w:rPr>
        <w:t xml:space="preserve"> A bolsa citada no art. 5º, inciso I, ficará limitada à carga horária máxima de quarenta horas semanais, para servidores inativos.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§3º</w:t>
      </w:r>
      <w:r w:rsidDel="00000000" w:rsidR="00000000" w:rsidRPr="00000000">
        <w:rPr>
          <w:rtl w:val="0"/>
        </w:rPr>
        <w:t xml:space="preserve"> As atividades realizadas pelos beneficiários docentes do IFMT deverão estar em consonância com a regulamentação institucional de atividades docentes.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§4º</w:t>
      </w:r>
      <w:r w:rsidDel="00000000" w:rsidR="00000000" w:rsidRPr="00000000">
        <w:rPr>
          <w:rtl w:val="0"/>
        </w:rPr>
        <w:t xml:space="preserve"> Será permitido o pagamento de bolsas aos beneficiários previstos no inciso I do art. 5º, desde que a carga horária dedicada às atividades do projeto seja compatível com as demais atividades do servidor na Instituição à qual está vinculado.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§5º</w:t>
      </w:r>
      <w:r w:rsidDel="00000000" w:rsidR="00000000" w:rsidRPr="00000000">
        <w:rPr>
          <w:rtl w:val="0"/>
        </w:rPr>
        <w:t xml:space="preserve"> O limite máximo da soma da remuneração, retribuições e bolsas percebidas pelos ocupantes de cargos, funções e empregos públicos da administração direta, autárquica e fundacional não poderá exceder o maior valor recebido pelo funcionalismo público federal.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§6º</w:t>
      </w:r>
      <w:r w:rsidDel="00000000" w:rsidR="00000000" w:rsidRPr="00000000">
        <w:rPr>
          <w:rtl w:val="0"/>
        </w:rPr>
        <w:t xml:space="preserve"> As bolsas da modalidade do inciso I do art. 5º poderão ser pagas considerando a carga horária proporcional dedicada ao projeto ou programa pelo beneficiário, conforme Anexo 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11.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 situações </w:t>
      </w:r>
      <w:r w:rsidDel="00000000" w:rsidR="00000000" w:rsidRPr="00000000">
        <w:rPr>
          <w:rtl w:val="0"/>
        </w:rPr>
        <w:t xml:space="preserve">que ensejem valores de bolsas diferentes dos apresentados no Anexo I deste regulamento, o IFMT poderá operacionalizar a concessão de bolsas pelas fundações de apoio, com fundamento na Lei nº 8.958, de 20 de dezembro de 1994, ou no art. 9º, § 1º, da Lei nº 10.973, de 2 de dezembro de 2004, observadas as condições do art. 17 do Decreto nº 8.240, de 21 de maio de 201</w:t>
      </w:r>
      <w:r w:rsidDel="00000000" w:rsidR="00000000" w:rsidRPr="00000000">
        <w:rPr>
          <w:rtl w:val="0"/>
        </w:rPr>
        <w:t xml:space="preserve">4 e da </w:t>
      </w:r>
      <w:r w:rsidDel="00000000" w:rsidR="00000000" w:rsidRPr="00000000">
        <w:rPr>
          <w:highlight w:val="white"/>
          <w:rtl w:val="0"/>
        </w:rPr>
        <w:t xml:space="preserve">Portaria MEC/SETEC nº 512 de 13 de junho de 20</w:t>
      </w:r>
      <w:r w:rsidDel="00000000" w:rsidR="00000000" w:rsidRPr="00000000">
        <w:rPr>
          <w:highlight w:val="white"/>
          <w:rtl w:val="0"/>
        </w:rPr>
        <w:t xml:space="preserve">22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12.</w:t>
      </w:r>
      <w:r w:rsidDel="00000000" w:rsidR="00000000" w:rsidRPr="00000000">
        <w:rPr>
          <w:rtl w:val="0"/>
        </w:rPr>
        <w:t xml:space="preserve"> Para situações que ensejem carga horária diferente da tabela apresentada no Anexo I deste Regulamento, os valores serão corrigidos proporcionalmente, de acordo com a referência estabelecida pelo CNPq.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13. </w:t>
      </w:r>
      <w:r w:rsidDel="00000000" w:rsidR="00000000" w:rsidRPr="00000000">
        <w:rPr>
          <w:rtl w:val="0"/>
        </w:rPr>
        <w:t xml:space="preserve">Os benefícios serão concedidos diretamente ao beneficiário, mediante a aceitação do termo de compromisso (via Sistema SUAP) em que constem os seus respectivos direitos e obrigações.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14.</w:t>
      </w:r>
      <w:r w:rsidDel="00000000" w:rsidR="00000000" w:rsidRPr="00000000">
        <w:rPr>
          <w:rtl w:val="0"/>
        </w:rPr>
        <w:t xml:space="preserve"> O pagamento das bolsas será realizado mediante depósito bancário em conta-corrente pessoal e individual, registrada em nome do beneficiário.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15. </w:t>
      </w:r>
      <w:r w:rsidDel="00000000" w:rsidR="00000000" w:rsidRPr="00000000">
        <w:rPr>
          <w:rtl w:val="0"/>
        </w:rPr>
        <w:t xml:space="preserve">O tipo de auxílio financeiro do Anexo I deve estar em consonância com a modalidade de beneficiário descrita no art. 8º, devidamente definida em Edital. </w:t>
      </w:r>
    </w:p>
    <w:p w:rsidR="00000000" w:rsidDel="00000000" w:rsidP="00000000" w:rsidRDefault="00000000" w:rsidRPr="00000000" w14:paraId="0000006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76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TÍTULO V – DOS ITENS FINANCIÁVEIS PELA TAXA DE BANCADA </w:t>
      </w:r>
    </w:p>
    <w:p w:rsidR="00000000" w:rsidDel="00000000" w:rsidP="00000000" w:rsidRDefault="00000000" w:rsidRPr="00000000" w14:paraId="0000006C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16. </w:t>
      </w:r>
      <w:r w:rsidDel="00000000" w:rsidR="00000000" w:rsidRPr="00000000">
        <w:rPr>
          <w:rtl w:val="0"/>
        </w:rPr>
        <w:t xml:space="preserve">A taxa de bancada destina-se as seguintes despesas de custeio e capital: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906" w:right="0" w:hanging="610"/>
        <w:rPr/>
      </w:pPr>
      <w:r w:rsidDel="00000000" w:rsidR="00000000" w:rsidRPr="00000000">
        <w:rPr>
          <w:rtl w:val="0"/>
        </w:rPr>
        <w:t xml:space="preserve">Aquisição de Material Permanente;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906" w:right="0" w:hanging="610"/>
        <w:rPr/>
      </w:pPr>
      <w:r w:rsidDel="00000000" w:rsidR="00000000" w:rsidRPr="00000000">
        <w:rPr>
          <w:rtl w:val="0"/>
        </w:rPr>
        <w:t xml:space="preserve">Aquisição de Material de Consumo;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906" w:right="0" w:hanging="610"/>
        <w:rPr/>
      </w:pPr>
      <w:r w:rsidDel="00000000" w:rsidR="00000000" w:rsidRPr="00000000">
        <w:rPr>
          <w:rtl w:val="0"/>
        </w:rPr>
        <w:t xml:space="preserve">Serviços de terceiros (Pessoa Física e Jurídica) para provimento de necessidades previstas no plano de trabalho;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292" w:lineRule="auto"/>
        <w:ind w:left="906" w:right="0" w:hanging="610"/>
        <w:rPr/>
      </w:pPr>
      <w:r w:rsidDel="00000000" w:rsidR="00000000" w:rsidRPr="00000000">
        <w:rPr>
          <w:rtl w:val="0"/>
        </w:rPr>
        <w:t xml:space="preserve">Custeio de taxas de inscrições, passagens, hospedagens e alimentação, para a participação em evento científico, desde que para apresentação de dados e/ou resultados dos projetos e programas desenvolvidos no âmbito do IFMT.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ind w:right="11"/>
        <w:rPr>
          <w:highlight w:val="white"/>
        </w:rPr>
      </w:pPr>
      <w:bookmarkStart w:colFirst="0" w:colLast="0" w:name="_heading=h.tyjcwt" w:id="5"/>
      <w:bookmarkEnd w:id="5"/>
      <w:r w:rsidDel="00000000" w:rsidR="00000000" w:rsidRPr="00000000">
        <w:rPr>
          <w:highlight w:val="white"/>
          <w:rtl w:val="0"/>
        </w:rPr>
        <w:t xml:space="preserve">TÍTULO VI </w:t>
      </w:r>
      <w:r w:rsidDel="00000000" w:rsidR="00000000" w:rsidRPr="00000000">
        <w:rPr>
          <w:strike w:val="1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DA UTILIZAÇÃO DOS RECURSOS FINANCEIROS</w:t>
      </w:r>
      <w:r w:rsidDel="00000000" w:rsidR="00000000" w:rsidRPr="00000000">
        <w:rPr>
          <w:rFonts w:ascii="Cambria" w:cs="Cambria" w:eastAsia="Cambria" w:hAnsi="Cambria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17. </w:t>
      </w:r>
      <w:r w:rsidDel="00000000" w:rsidR="00000000" w:rsidRPr="00000000">
        <w:rPr>
          <w:rtl w:val="0"/>
        </w:rPr>
        <w:t xml:space="preserve">Os recursos referidos neste regulamento, serão executados em período máximo de 24 meses, contados a partir do momento da concessão, sendo definido o prazo de execução previamente no projeto ou edital.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18. </w:t>
      </w:r>
      <w:r w:rsidDel="00000000" w:rsidR="00000000" w:rsidRPr="00000000">
        <w:rPr>
          <w:rtl w:val="0"/>
        </w:rPr>
        <w:t xml:space="preserve">A utilização do recurso referido neste regulamento deve ocorrer durante o período de vigência do benefício, definido previamente no projeto ou plano de trabalho.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Art. 19.</w:t>
      </w:r>
      <w:r w:rsidDel="00000000" w:rsidR="00000000" w:rsidRPr="00000000">
        <w:rPr>
          <w:rtl w:val="0"/>
        </w:rPr>
        <w:t xml:space="preserve"> Durante a vigência do benefício poderá ser solicitado, ao setor competente, definido em edital, e mediante justificativa técnica, o remanejamento do recurso referido neste regulamento, apenas para itens financiáveis e limitando-se a disponibilidade orçamentária.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5">
      <w:pPr>
        <w:ind w:left="-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Parágrafo único.</w:t>
      </w:r>
      <w:r w:rsidDel="00000000" w:rsidR="00000000" w:rsidRPr="00000000">
        <w:rPr>
          <w:rtl w:val="0"/>
        </w:rPr>
        <w:t xml:space="preserve"> O remanejamento será avaliado e autorizado pelo setor responsável, indicado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20. </w:t>
      </w:r>
      <w:r w:rsidDel="00000000" w:rsidR="00000000" w:rsidRPr="00000000">
        <w:rPr>
          <w:rtl w:val="0"/>
        </w:rPr>
        <w:t xml:space="preserve">Na utilização de veículo próprio, a comprovação será mediante a apresentação de notas fiscais de combustível, devendo constar obrigatoriamente, em relatório o nome do condutor, placa do veículo, e a quilometragem inicial e final, acompanhadas do relatório contendo o itinerário percorrido.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-5" w:right="0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Art. 21. </w:t>
      </w:r>
      <w:r w:rsidDel="00000000" w:rsidR="00000000" w:rsidRPr="00000000">
        <w:rPr>
          <w:rtl w:val="0"/>
        </w:rPr>
        <w:t xml:space="preserve">No caso de pagamento de pessoa jurídica, por serviços prestados ou aquisição de materiais e equipamentos, a nota fiscal/fatura deverá, obrigatoriamente, conter: nome e CPF do beneficiário, data da emissão e descrição detalhada do material adquirido ou do serviço </w:t>
      </w:r>
      <w:r w:rsidDel="00000000" w:rsidR="00000000" w:rsidRPr="00000000">
        <w:rPr>
          <w:highlight w:val="white"/>
          <w:rtl w:val="0"/>
        </w:rPr>
        <w:t xml:space="preserve">prestado e, preferencialmente, o nome do projeto.</w:t>
      </w:r>
    </w:p>
    <w:p w:rsidR="00000000" w:rsidDel="00000000" w:rsidP="00000000" w:rsidRDefault="00000000" w:rsidRPr="00000000" w14:paraId="00000078">
      <w:pPr>
        <w:ind w:left="-5" w:right="0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Parágrafo único. </w:t>
      </w:r>
      <w:r w:rsidDel="00000000" w:rsidR="00000000" w:rsidRPr="00000000">
        <w:rPr>
          <w:highlight w:val="white"/>
          <w:rtl w:val="0"/>
        </w:rPr>
        <w:t xml:space="preserve">No caso de compra de produtos químicos controlados pela Polícia Federal, o pesquisador que efetuar a compra do produto utilizando a licença do IFMT, deverá solicitar a nota fiscal/fatura obrigatoriamente em nome do IFMT.  A nota fiscal/fatura deverá conter: nome e CNPJ do Câmpus, data da emissão e descrição detalhada do material adquirido. Deverá ainda verificar se o fornecedor é optante pelo Simples e caso não seja, efetuar o recolhimento do DARF referente aos impostos federais e abater do valor a pagar da Nota Fiscal.</w:t>
      </w:r>
      <w:r w:rsidDel="00000000" w:rsidR="00000000" w:rsidRPr="00000000">
        <w:rPr>
          <w:b w:val="1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22. </w:t>
      </w:r>
      <w:r w:rsidDel="00000000" w:rsidR="00000000" w:rsidRPr="00000000">
        <w:rPr>
          <w:rtl w:val="0"/>
        </w:rPr>
        <w:t xml:space="preserve">O beneficiário assume todas as obrigações legais decorrentes de eventuais contratações de pessoa física ou jurídica necessárias à execução do projeto/programa, garantida a aceitação de que tais contratações não terão vínculo de qualquer natureza com o IFMT.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5" w:right="0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Parágrafo único.</w:t>
      </w:r>
      <w:r w:rsidDel="00000000" w:rsidR="00000000" w:rsidRPr="00000000">
        <w:rPr>
          <w:rtl w:val="0"/>
        </w:rPr>
        <w:t xml:space="preserve"> O IFMT não se responsabiliza pelo uso de equipamentos/materiais pessoais em projetos institucionais, nem por eventuais danos ocasionados </w:t>
      </w:r>
      <w:r w:rsidDel="00000000" w:rsidR="00000000" w:rsidRPr="00000000">
        <w:rPr>
          <w:highlight w:val="white"/>
          <w:rtl w:val="0"/>
        </w:rPr>
        <w:t xml:space="preserve">nestes equipamentos/materiais por seu uso.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23. </w:t>
      </w:r>
      <w:r w:rsidDel="00000000" w:rsidR="00000000" w:rsidRPr="00000000">
        <w:rPr>
          <w:rtl w:val="0"/>
        </w:rPr>
        <w:t xml:space="preserve">Para os projetos d</w:t>
      </w:r>
      <w:r w:rsidDel="00000000" w:rsidR="00000000" w:rsidRPr="00000000">
        <w:rPr>
          <w:highlight w:val="white"/>
          <w:rtl w:val="0"/>
        </w:rPr>
        <w:t xml:space="preserve">e pesquisa, ensino e extensão,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ser</w:t>
      </w:r>
      <w:r w:rsidDel="00000000" w:rsidR="00000000" w:rsidRPr="00000000">
        <w:rPr>
          <w:rtl w:val="0"/>
        </w:rPr>
        <w:t xml:space="preserve">á permitido desde que previsto em edital, a apresentação de uma mesma nota fiscal para comprovação de rateio de despesas para aquisição de bens, produtos e/ou serviços para mais de um projeto e, neste caso, será descrito, obrigatoriamente, no comprovante das despesas a origem dos recursos provisionados.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24.</w:t>
      </w:r>
      <w:r w:rsidDel="00000000" w:rsidR="00000000" w:rsidRPr="00000000">
        <w:rPr>
          <w:rtl w:val="0"/>
        </w:rPr>
        <w:t xml:space="preserve"> Os recursos não aplicados deverão ser devolvidos através de Guia de Recolhimento da União – GRU. O comprovante de devolução deve ser anexado ao Relatório de prestação de contas - SUAP.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25. </w:t>
      </w:r>
      <w:r w:rsidDel="00000000" w:rsidR="00000000" w:rsidRPr="00000000">
        <w:rPr>
          <w:rtl w:val="0"/>
        </w:rPr>
        <w:t xml:space="preserve">O beneficiário deve seguir o princípio da economia de recurso, através do menor preço, efetuando pesquisa de mercado em no mínimo 03 (três) estabelecimentos ou sites oficiais, observados os princípios da impessoalidade, moralidade e economicidade, objetivando o melhor aproveitamento possível do dinheiro público.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§1º</w:t>
      </w:r>
      <w:r w:rsidDel="00000000" w:rsidR="00000000" w:rsidRPr="00000000">
        <w:rPr>
          <w:rtl w:val="0"/>
        </w:rPr>
        <w:t xml:space="preserve"> As aquisições de materiais de consumo podem ser realizadas utilizando como referência os preços, para o item a ser contratado/adquirido, fornecidos pelo governo federal</w:t>
      </w:r>
      <w:hyperlink r:id="rId7">
        <w:r w:rsidDel="00000000" w:rsidR="00000000" w:rsidRPr="00000000">
          <w:rPr>
            <w:rtl w:val="0"/>
          </w:rPr>
          <w:t xml:space="preserve">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§2º</w:t>
      </w:r>
      <w:r w:rsidDel="00000000" w:rsidR="00000000" w:rsidRPr="00000000">
        <w:rPr>
          <w:rtl w:val="0"/>
        </w:rPr>
        <w:t xml:space="preserve"> Para as aquisições de alimentos (como insumo para realização das atividades do projeto) e combustível, pode-se utilizar como preço de referência (máximo a ser pago na aquisição) o instrumento referencial do governo federal, e o sistema de levantamento de preços da Agência Nacional do Petróleo, Gás Natural e Biocombustíveis – ANP, além do Banco de Alimentos das prefeituras e Companhia Nacional de Abastecimento – CONAB.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§3º</w:t>
      </w:r>
      <w:r w:rsidDel="00000000" w:rsidR="00000000" w:rsidRPr="00000000">
        <w:rPr>
          <w:rtl w:val="0"/>
        </w:rPr>
        <w:t xml:space="preserve"> O beneficiário deve anexar justificativa à prestação de contas, caso haja impossibilidade de obtenção dos 03 (três) orçamentos, ou quando adquirir insumos de maior </w:t>
      </w:r>
      <w:r w:rsidDel="00000000" w:rsidR="00000000" w:rsidRPr="00000000">
        <w:rPr>
          <w:rtl w:val="0"/>
        </w:rPr>
        <w:t xml:space="preserve">valor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8" w:before="0" w:line="270" w:lineRule="auto"/>
        <w:ind w:left="-5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§4º </w:t>
      </w:r>
      <w:r w:rsidDel="00000000" w:rsidR="00000000" w:rsidRPr="00000000">
        <w:rPr>
          <w:rtl w:val="0"/>
        </w:rPr>
        <w:t xml:space="preserve">Os links para consulta às referências de valores fornecidas pelo governo federal serão informados nos editais, bem como as alterações nas legislações de compras.</w:t>
      </w:r>
    </w:p>
    <w:p w:rsidR="00000000" w:rsidDel="00000000" w:rsidP="00000000" w:rsidRDefault="00000000" w:rsidRPr="00000000" w14:paraId="00000082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26. </w:t>
      </w:r>
      <w:r w:rsidDel="00000000" w:rsidR="00000000" w:rsidRPr="00000000">
        <w:rPr>
          <w:rtl w:val="0"/>
        </w:rPr>
        <w:t xml:space="preserve">Todos os produtos e serviços adquiridos deverão ser inerentes a execução e divulgação do(s) resultado(s) do(s) projeto(s).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27. </w:t>
      </w:r>
      <w:r w:rsidDel="00000000" w:rsidR="00000000" w:rsidRPr="00000000">
        <w:rPr>
          <w:rtl w:val="0"/>
        </w:rPr>
        <w:t xml:space="preserve">É vedado: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972" w:right="0" w:hanging="732"/>
        <w:rPr/>
      </w:pPr>
      <w:r w:rsidDel="00000000" w:rsidR="00000000" w:rsidRPr="00000000">
        <w:rPr>
          <w:rtl w:val="0"/>
        </w:rPr>
        <w:t xml:space="preserve">Utilizar recursos para qualquer outra finalidade, que não a prevista no plano de trabalho ou projeto;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972" w:right="0" w:hanging="732"/>
        <w:rPr/>
      </w:pPr>
      <w:r w:rsidDel="00000000" w:rsidR="00000000" w:rsidRPr="00000000">
        <w:rPr>
          <w:rtl w:val="0"/>
        </w:rPr>
        <w:t xml:space="preserve">Computar</w:t>
      </w:r>
      <w:r w:rsidDel="00000000" w:rsidR="00000000" w:rsidRPr="00000000">
        <w:rPr>
          <w:rtl w:val="0"/>
        </w:rPr>
        <w:t xml:space="preserve"> nas despesas do benefício taxas de administração, IOF, ou qualquer outro tributo ou tarifa incidente sobre operação ou serviço bancário;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972" w:right="0" w:hanging="732"/>
        <w:rPr/>
      </w:pPr>
      <w:r w:rsidDel="00000000" w:rsidR="00000000" w:rsidRPr="00000000">
        <w:rPr>
          <w:rtl w:val="0"/>
        </w:rPr>
        <w:t xml:space="preserve">Utilizar recursos a título de empréstimo pessoal ou a outrem para reposição futura;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972" w:right="0" w:hanging="732"/>
        <w:rPr/>
      </w:pPr>
      <w:r w:rsidDel="00000000" w:rsidR="00000000" w:rsidRPr="00000000">
        <w:rPr>
          <w:rtl w:val="0"/>
        </w:rPr>
        <w:t xml:space="preserve">Transferir a terceiros as obrigações assumidas nos projetos, sem a anuência dos responsáveis pelo edital;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after="25" w:line="259" w:lineRule="auto"/>
        <w:ind w:left="972" w:right="0" w:hanging="732"/>
        <w:rPr/>
      </w:pPr>
      <w:r w:rsidDel="00000000" w:rsidR="00000000" w:rsidRPr="00000000">
        <w:rPr>
          <w:rtl w:val="0"/>
        </w:rPr>
        <w:t xml:space="preserve">Pagamento de despesas de rotina, como conta de luz, água, telefone, internet e </w:t>
      </w:r>
    </w:p>
    <w:p w:rsidR="00000000" w:rsidDel="00000000" w:rsidP="00000000" w:rsidRDefault="00000000" w:rsidRPr="00000000" w14:paraId="00000089">
      <w:pPr>
        <w:ind w:left="860" w:right="0" w:firstLine="0"/>
        <w:rPr/>
      </w:pPr>
      <w:r w:rsidDel="00000000" w:rsidR="00000000" w:rsidRPr="00000000">
        <w:rPr>
          <w:rtl w:val="0"/>
        </w:rPr>
        <w:t xml:space="preserve">similares;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972" w:right="0" w:hanging="732"/>
        <w:rPr/>
      </w:pPr>
      <w:r w:rsidDel="00000000" w:rsidR="00000000" w:rsidRPr="00000000">
        <w:rPr>
          <w:rtl w:val="0"/>
        </w:rPr>
        <w:t xml:space="preserve">Contratar serviços de pessoa física ou jurídica para realização de atividades que devem ser desenvolvidas pela própria instituição, por intermédio de seu quadro de pessoal;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972" w:right="0" w:hanging="732"/>
        <w:rPr/>
      </w:pPr>
      <w:r w:rsidDel="00000000" w:rsidR="00000000" w:rsidRPr="00000000">
        <w:rPr>
          <w:rtl w:val="0"/>
        </w:rPr>
        <w:t xml:space="preserve">Utilizar os benefícios deste Regulamento para custear despesas de organização de eventos de qualquer natureza;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972" w:right="0" w:hanging="732"/>
        <w:rPr/>
      </w:pPr>
      <w:r w:rsidDel="00000000" w:rsidR="00000000" w:rsidRPr="00000000">
        <w:rPr>
          <w:rtl w:val="0"/>
        </w:rPr>
        <w:t xml:space="preserve">Pagamento de despesas anteriores ao início de vigência da execução do projeto ou posteriores ao seu cancelamento.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Parágrafo único.</w:t>
      </w:r>
      <w:r w:rsidDel="00000000" w:rsidR="00000000" w:rsidRPr="00000000">
        <w:rPr>
          <w:rtl w:val="0"/>
        </w:rPr>
        <w:t xml:space="preserve"> A não observância desses dispositivos implicará no cancelamento do benefício, devendo o beneficiário devolver os recursos utilizados, no prazo de 30 (trinta) dias contados da notificação, sem prejuízo da aplicação das penalidades cabíveis.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92" w:lineRule="auto"/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28.</w:t>
      </w:r>
      <w:r w:rsidDel="00000000" w:rsidR="00000000" w:rsidRPr="00000000">
        <w:rPr>
          <w:rtl w:val="0"/>
        </w:rPr>
        <w:t xml:space="preserve"> Todo o material permanente será vistoriado e incorporado ao patrimônio da unidade do IFMT ao qual o projeto ou programa está vinculado, após a conclusão da execução do projeto.</w:t>
      </w:r>
    </w:p>
    <w:p w:rsidR="00000000" w:rsidDel="00000000" w:rsidP="00000000" w:rsidRDefault="00000000" w:rsidRPr="00000000" w14:paraId="0000008F">
      <w:pPr>
        <w:pStyle w:val="Heading1"/>
        <w:ind w:right="10"/>
        <w:rPr>
          <w:highlight w:val="white"/>
        </w:rPr>
      </w:pPr>
      <w:bookmarkStart w:colFirst="0" w:colLast="0" w:name="_heading=h.3dy6vkm" w:id="6"/>
      <w:bookmarkEnd w:id="6"/>
      <w:r w:rsidDel="00000000" w:rsidR="00000000" w:rsidRPr="00000000">
        <w:rPr>
          <w:highlight w:val="white"/>
          <w:rtl w:val="0"/>
        </w:rPr>
        <w:t xml:space="preserve">TÍTULO VII </w:t>
      </w:r>
      <w:r w:rsidDel="00000000" w:rsidR="00000000" w:rsidRPr="00000000">
        <w:rPr>
          <w:strike w:val="1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DO ACOMPANHAMENTO</w:t>
      </w:r>
      <w:r w:rsidDel="00000000" w:rsidR="00000000" w:rsidRPr="00000000">
        <w:rPr>
          <w:rFonts w:ascii="Cambria" w:cs="Cambria" w:eastAsia="Cambria" w:hAnsi="Cambria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29. </w:t>
      </w:r>
      <w:r w:rsidDel="00000000" w:rsidR="00000000" w:rsidRPr="00000000">
        <w:rPr>
          <w:rtl w:val="0"/>
        </w:rPr>
        <w:t xml:space="preserve">O acompanhamento dos projetos e programas consiste em: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after="25" w:line="259" w:lineRule="auto"/>
        <w:ind w:left="763" w:right="0" w:hanging="523"/>
        <w:rPr/>
      </w:pPr>
      <w:r w:rsidDel="00000000" w:rsidR="00000000" w:rsidRPr="00000000">
        <w:rPr>
          <w:rtl w:val="0"/>
        </w:rPr>
        <w:t xml:space="preserve">Instruir sobre os procedimentos administrativos necessários para execução do </w:t>
      </w:r>
    </w:p>
    <w:p w:rsidR="00000000" w:rsidDel="00000000" w:rsidP="00000000" w:rsidRDefault="00000000" w:rsidRPr="00000000" w14:paraId="00000092">
      <w:pPr>
        <w:ind w:left="860" w:right="0" w:firstLine="0"/>
        <w:rPr/>
      </w:pPr>
      <w:r w:rsidDel="00000000" w:rsidR="00000000" w:rsidRPr="00000000">
        <w:rPr>
          <w:rtl w:val="0"/>
        </w:rPr>
        <w:t xml:space="preserve">benefício;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63" w:right="0" w:hanging="523"/>
        <w:rPr/>
      </w:pPr>
      <w:r w:rsidDel="00000000" w:rsidR="00000000" w:rsidRPr="00000000">
        <w:rPr>
          <w:rtl w:val="0"/>
        </w:rPr>
        <w:t xml:space="preserve">Verificar o cumprimento das metas/atividades do projeto/programa;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pacing w:after="0" w:line="390" w:lineRule="auto"/>
        <w:ind w:left="763" w:right="0" w:hanging="523"/>
        <w:rPr/>
      </w:pPr>
      <w:r w:rsidDel="00000000" w:rsidR="00000000" w:rsidRPr="00000000">
        <w:rPr>
          <w:rtl w:val="0"/>
        </w:rPr>
        <w:t xml:space="preserve">Verificar o cumprimento do cronograma físico/financeiro do projeto/programa;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spacing w:after="0" w:line="390" w:lineRule="auto"/>
        <w:ind w:left="763" w:right="0" w:hanging="523"/>
        <w:rPr/>
      </w:pPr>
      <w:r w:rsidDel="00000000" w:rsidR="00000000" w:rsidRPr="00000000">
        <w:rPr>
          <w:rtl w:val="0"/>
        </w:rPr>
        <w:t xml:space="preserve">Analisar e emitir parecer final da prestação de contas do benefício.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-5" w:right="84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Art. 30.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O acompanhamento é responsabilidade direta das Direções e/ou Coorden</w:t>
      </w:r>
      <w:r w:rsidDel="00000000" w:rsidR="00000000" w:rsidRPr="00000000">
        <w:rPr>
          <w:highlight w:val="white"/>
          <w:rtl w:val="0"/>
        </w:rPr>
        <w:t xml:space="preserve">ações de Pesquisa, Ensino e Extensão e representantes de Relações Internacionais dos campi, para os projetos/programas de iniciativa dos campi. Em caso de projetos/programas de iniciativa da Reitoria a supervisão será responsabilidade da Pró-Reitoria de Pesquisa, Pós-graduação e Inovação, Pró-Reitoria de Ensino, Pró-Reitoria de Extensão e Diretoria Sistêmica de Relações Internacionais, seguindo normativa interna específica, </w:t>
      </w:r>
      <w:r w:rsidDel="00000000" w:rsidR="00000000" w:rsidRPr="00000000">
        <w:rPr>
          <w:highlight w:val="white"/>
          <w:rtl w:val="0"/>
        </w:rPr>
        <w:t xml:space="preserve">e das mesmas Pró-Reitorias responsáveis, quando o projeto for desenvolvido na Reitoria.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Parágrafo único.</w:t>
      </w:r>
      <w:r w:rsidDel="00000000" w:rsidR="00000000" w:rsidRPr="00000000">
        <w:rPr>
          <w:rtl w:val="0"/>
        </w:rPr>
        <w:t xml:space="preserve"> Caso os responsáveis pelo acompanhamento identifiquem não conformidades na relação entre o previsto no plano de trabalho e o executado, deverá solicitar do coordenador do projeto as adequações devidas.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31. </w:t>
      </w:r>
      <w:r w:rsidDel="00000000" w:rsidR="00000000" w:rsidRPr="00000000">
        <w:rPr>
          <w:rtl w:val="0"/>
        </w:rPr>
        <w:t xml:space="preserve">A prestação de contas poderá receber uma das seguintes indicações: aprovado, aprovado com ressalva ou reprovado.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§1º</w:t>
      </w:r>
      <w:r w:rsidDel="00000000" w:rsidR="00000000" w:rsidRPr="00000000">
        <w:rPr>
          <w:rtl w:val="0"/>
        </w:rPr>
        <w:t xml:space="preserve"> O projeto será considerado concluído quando o relatório final receber indicação de aprovado.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61" w:lineRule="auto"/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§2º</w:t>
      </w:r>
      <w:r w:rsidDel="00000000" w:rsidR="00000000" w:rsidRPr="00000000">
        <w:rPr>
          <w:rtl w:val="0"/>
        </w:rPr>
        <w:t xml:space="preserve"> O beneficiário cuja prestação de contas receber parecer aprovado com ressalva terá um prazo máximo de 30 (trinta) dias para fazer as correções solicitadas.</w:t>
      </w:r>
    </w:p>
    <w:p w:rsidR="00000000" w:rsidDel="00000000" w:rsidP="00000000" w:rsidRDefault="00000000" w:rsidRPr="00000000" w14:paraId="0000009B">
      <w:pPr>
        <w:spacing w:after="261" w:lineRule="auto"/>
        <w:ind w:left="-5" w:right="0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§3º </w:t>
      </w:r>
      <w:r w:rsidDel="00000000" w:rsidR="00000000" w:rsidRPr="00000000">
        <w:rPr>
          <w:highlight w:val="white"/>
          <w:rtl w:val="0"/>
        </w:rPr>
        <w:t xml:space="preserve">O coordenador que tiver seu projeto reprovado, ficará inadimplente com o IFMT. </w:t>
      </w:r>
    </w:p>
    <w:p w:rsidR="00000000" w:rsidDel="00000000" w:rsidP="00000000" w:rsidRDefault="00000000" w:rsidRPr="00000000" w14:paraId="0000009C">
      <w:pPr>
        <w:pStyle w:val="Heading1"/>
        <w:ind w:right="7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TÍTULO VIII – DA PRESTAÇÃO DE CONTAS E CUMPRIMENTO DE OBJETO </w:t>
      </w:r>
    </w:p>
    <w:p w:rsidR="00000000" w:rsidDel="00000000" w:rsidP="00000000" w:rsidRDefault="00000000" w:rsidRPr="00000000" w14:paraId="0000009D">
      <w:pPr>
        <w:spacing w:after="131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32. </w:t>
      </w:r>
      <w:r w:rsidDel="00000000" w:rsidR="00000000" w:rsidRPr="00000000">
        <w:rPr>
          <w:rtl w:val="0"/>
        </w:rPr>
        <w:t xml:space="preserve">Para fins deste regulamento definem-se: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ind w:left="0" w:right="0" w:firstLine="720"/>
        <w:rPr/>
      </w:pPr>
      <w:r w:rsidDel="00000000" w:rsidR="00000000" w:rsidRPr="00000000">
        <w:rPr>
          <w:rtl w:val="0"/>
        </w:rPr>
        <w:t xml:space="preserve">prestação de contas: consiste em relatório que apresenta toda a movimentação financeira/econômica, contendo notas fiscais de compras relacionadas a cada item financiável</w:t>
      </w:r>
      <w:r w:rsidDel="00000000" w:rsidR="00000000" w:rsidRPr="00000000">
        <w:rPr>
          <w:color w:val="0000ff"/>
          <w:rtl w:val="0"/>
        </w:rPr>
        <w:t xml:space="preserve">,</w:t>
      </w:r>
      <w:r w:rsidDel="00000000" w:rsidR="00000000" w:rsidRPr="00000000">
        <w:rPr>
          <w:rtl w:val="0"/>
        </w:rPr>
        <w:t xml:space="preserve"> justificativas fundamentadas, caso haja substituição, supressão ou inclusão de itens adquiridos, demonstrando conformidade técnica e financeira, considerando início e fim da vigência do benefício; com plena anuência e aprovação pelos setores responsáveis. 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ind w:left="0" w:right="0" w:firstLine="720"/>
        <w:rPr/>
      </w:pPr>
      <w:r w:rsidDel="00000000" w:rsidR="00000000" w:rsidRPr="00000000">
        <w:rPr>
          <w:rtl w:val="0"/>
        </w:rPr>
        <w:t xml:space="preserve">cumprimento do objeto: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parte integrante da prestação de contas que consiste em relatório técnico-científico das etapas, objetivos e metas cumpridas e não cumpridas, descrevendo o alcance dos resultados previstos, inclusive com dados quantitativos e qualitativos do público atendido, considerando início e fim da vigência do benefício; com plena anuência e aprovação pelos setores responsáveis.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65" w:line="329" w:lineRule="auto"/>
        <w:ind w:left="-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Art. 33. </w:t>
      </w:r>
      <w:r w:rsidDel="00000000" w:rsidR="00000000" w:rsidRPr="00000000">
        <w:rPr>
          <w:rtl w:val="0"/>
        </w:rPr>
        <w:t xml:space="preserve">A prestação de contas, apresentada em sistema vigente para registro e gestão de projetos e programas, deverá constar, no mínimo, os seguintes itens: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after="65" w:line="329" w:lineRule="auto"/>
        <w:ind w:left="141.73228346456688" w:righ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tl w:val="0"/>
        </w:rPr>
        <w:t xml:space="preserve">Cumprimento do objeto, conforme alínea b do art. 32;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6"/>
        </w:numPr>
        <w:spacing w:after="155" w:lineRule="auto"/>
        <w:ind w:left="982" w:right="0" w:hanging="766"/>
        <w:rPr/>
      </w:pPr>
      <w:r w:rsidDel="00000000" w:rsidR="00000000" w:rsidRPr="00000000">
        <w:rPr>
          <w:rtl w:val="0"/>
        </w:rPr>
        <w:t xml:space="preserve">Relatório físico-financeiro, prestando conta da aplicação detalhada dos recursos, segundo cada atividade/item previsto no orçamento do projeto;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spacing w:after="153" w:lineRule="auto"/>
        <w:ind w:left="982" w:right="0" w:hanging="766"/>
        <w:rPr/>
      </w:pPr>
      <w:r w:rsidDel="00000000" w:rsidR="00000000" w:rsidRPr="00000000">
        <w:rPr>
          <w:rtl w:val="0"/>
        </w:rPr>
        <w:t xml:space="preserve">Notas fiscais, recibos e demais formas de comprovação previstas em lei, para cada item executado;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spacing w:after="151" w:lineRule="auto"/>
        <w:ind w:left="982" w:right="0" w:hanging="766"/>
        <w:rPr/>
      </w:pPr>
      <w:r w:rsidDel="00000000" w:rsidR="00000000" w:rsidRPr="00000000">
        <w:rPr>
          <w:rtl w:val="0"/>
        </w:rPr>
        <w:t xml:space="preserve">Cópia de comprovante de participação, quando se tratar de recursos para participação de eventos;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spacing w:after="154" w:lineRule="auto"/>
        <w:ind w:left="982" w:right="0" w:hanging="766"/>
        <w:rPr/>
      </w:pPr>
      <w:r w:rsidDel="00000000" w:rsidR="00000000" w:rsidRPr="00000000">
        <w:rPr>
          <w:rtl w:val="0"/>
        </w:rPr>
        <w:t xml:space="preserve">Nota fiscal emitida pela prefeitura, como contribuinte individual em caso de contratação de serviços de terceiros – Pessoa Física;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spacing w:after="142" w:lineRule="auto"/>
        <w:ind w:left="982" w:right="0" w:hanging="766"/>
        <w:rPr/>
      </w:pPr>
      <w:r w:rsidDel="00000000" w:rsidR="00000000" w:rsidRPr="00000000">
        <w:rPr>
          <w:rtl w:val="0"/>
        </w:rPr>
        <w:t xml:space="preserve">Termo de doação para os bens permanentes;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spacing w:after="142" w:lineRule="auto"/>
        <w:ind w:left="982" w:right="0" w:hanging="766"/>
        <w:rPr/>
      </w:pPr>
      <w:r w:rsidDel="00000000" w:rsidR="00000000" w:rsidRPr="00000000">
        <w:rPr>
          <w:rtl w:val="0"/>
        </w:rPr>
        <w:t xml:space="preserve">Comprovante de devolução do saldo não utilizado - GRU (quando for o caso);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spacing w:after="142" w:lineRule="auto"/>
        <w:ind w:left="982" w:right="0" w:hanging="766"/>
        <w:rPr/>
      </w:pPr>
      <w:r w:rsidDel="00000000" w:rsidR="00000000" w:rsidRPr="00000000">
        <w:rPr>
          <w:rtl w:val="0"/>
        </w:rPr>
        <w:t xml:space="preserve">Bilhete de passagem (quando houver);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ind w:left="982" w:right="0" w:hanging="766"/>
        <w:rPr/>
      </w:pPr>
      <w:r w:rsidDel="00000000" w:rsidR="00000000" w:rsidRPr="00000000">
        <w:rPr>
          <w:rtl w:val="0"/>
        </w:rPr>
        <w:t xml:space="preserve">Notas fiscais, recibos e demais formas de comprovação previstas em lei, para os gastos com hospedagem e alimentação (quando houver).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34. </w:t>
      </w:r>
      <w:r w:rsidDel="00000000" w:rsidR="00000000" w:rsidRPr="00000000">
        <w:rPr>
          <w:rtl w:val="0"/>
        </w:rPr>
        <w:t xml:space="preserve">O cumprimento do objeto ocorrerá mediante registro, tanto documental como de imagem e vídeo, ao setor responsável pela concessão do benefício</w:t>
      </w:r>
      <w:r w:rsidDel="00000000" w:rsidR="00000000" w:rsidRPr="00000000">
        <w:rPr>
          <w:color w:val="0000ff"/>
          <w:rtl w:val="0"/>
        </w:rPr>
        <w:t xml:space="preserve">, </w:t>
      </w:r>
      <w:r w:rsidDel="00000000" w:rsidR="00000000" w:rsidRPr="00000000">
        <w:rPr>
          <w:rtl w:val="0"/>
        </w:rPr>
        <w:t xml:space="preserve">até 30 (trinta) dias após o seu término da vigência prevista no projeto.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Parágrafo único.</w:t>
      </w:r>
      <w:r w:rsidDel="00000000" w:rsidR="00000000" w:rsidRPr="00000000">
        <w:rPr>
          <w:rtl w:val="0"/>
        </w:rPr>
        <w:t xml:space="preserve"> A prorrogação do prazo para execução do projeto é permitida, desde que protocolada sua solicitação, até 10 dias úteis antes do término previsto no cronograma do projeto, com a devida justificativa, ao setor responsável pelo acompanhamento da execução do benefício.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92" w:lineRule="auto"/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35. </w:t>
      </w:r>
      <w:r w:rsidDel="00000000" w:rsidR="00000000" w:rsidRPr="00000000">
        <w:rPr>
          <w:rtl w:val="0"/>
        </w:rPr>
        <w:t xml:space="preserve">Não serão aceitos documentos que apresentem emendas ou rasuras que prejudiquem a clareza de seu conteúdo.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ind w:right="3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TÍTULO IX </w:t>
      </w:r>
      <w:r w:rsidDel="00000000" w:rsidR="00000000" w:rsidRPr="00000000">
        <w:rPr>
          <w:strike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DA INADIMPLÊNCIA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36. </w:t>
      </w:r>
      <w:r w:rsidDel="00000000" w:rsidR="00000000" w:rsidRPr="00000000">
        <w:rPr>
          <w:rtl w:val="0"/>
        </w:rPr>
        <w:t xml:space="preserve">Considerar-se-á em situação de inadimplência, o beneficiário que não apresentar a prestação de contas até 30 (trinta) dias após o término da vigência do projeto, ou que a mesma não seja aprovada, com possível abertura de sindicância e demais procedimentos administrativos cabíveis.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-5" w:right="115" w:firstLine="0"/>
        <w:rPr/>
      </w:pPr>
      <w:r w:rsidDel="00000000" w:rsidR="00000000" w:rsidRPr="00000000">
        <w:rPr>
          <w:b w:val="1"/>
          <w:rtl w:val="0"/>
        </w:rPr>
        <w:t xml:space="preserve">Parágrafo único. </w:t>
      </w:r>
      <w:r w:rsidDel="00000000" w:rsidR="00000000" w:rsidRPr="00000000">
        <w:rPr>
          <w:rtl w:val="0"/>
        </w:rPr>
        <w:t xml:space="preserve">A análise e emissão de parecer final da prestação de contas, bem como a responsabilidade pela abertura de sindicância e demais procedimentos administrativ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s cabíveis, deverão estar previstos nos editais de concessão dos benefícios deste regulamento.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-5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Art. 37.</w:t>
      </w:r>
      <w:r w:rsidDel="00000000" w:rsidR="00000000" w:rsidRPr="00000000">
        <w:rPr>
          <w:rtl w:val="0"/>
        </w:rPr>
        <w:t xml:space="preserve"> Servidores inadimplentes não poderão receber benefícios deste regulamento até apresentação e aprovação da prestação de contas.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2">
      <w:pPr>
        <w:pStyle w:val="Heading1"/>
        <w:ind w:right="12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TÍTULO X </w:t>
      </w:r>
      <w:r w:rsidDel="00000000" w:rsidR="00000000" w:rsidRPr="00000000">
        <w:rPr>
          <w:strike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DAS DISPOSIÇÕES FINAIS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-5" w:right="86" w:firstLine="0"/>
        <w:rPr/>
      </w:pPr>
      <w:r w:rsidDel="00000000" w:rsidR="00000000" w:rsidRPr="00000000">
        <w:rPr>
          <w:b w:val="1"/>
          <w:rtl w:val="0"/>
        </w:rPr>
        <w:t xml:space="preserve">Art. 38.</w:t>
      </w:r>
      <w:r w:rsidDel="00000000" w:rsidR="00000000" w:rsidRPr="00000000">
        <w:rPr>
          <w:rtl w:val="0"/>
        </w:rPr>
        <w:t xml:space="preserve"> O não cumprimento das disposições normativas previstas neste Regulamento ou a reprovação da prestação de contas, obriga ao beneficiário a devolver ao IFMT os recursos despendidos em seu proveito.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-5" w:right="88" w:firstLine="0"/>
        <w:rPr/>
      </w:pPr>
      <w:r w:rsidDel="00000000" w:rsidR="00000000" w:rsidRPr="00000000">
        <w:rPr>
          <w:b w:val="1"/>
          <w:rtl w:val="0"/>
        </w:rPr>
        <w:t xml:space="preserve">Art. 39.</w:t>
      </w:r>
      <w:r w:rsidDel="00000000" w:rsidR="00000000" w:rsidRPr="00000000">
        <w:rPr>
          <w:rtl w:val="0"/>
        </w:rPr>
        <w:t xml:space="preserve"> O IFMT reserva o direito de, a qualquer momento acompanhar e avaliar a execução do projeto/plano de trabalho, fiscalizar </w:t>
      </w:r>
      <w:r w:rsidDel="00000000" w:rsidR="00000000" w:rsidRPr="00000000">
        <w:rPr>
          <w:i w:val="1"/>
          <w:rtl w:val="0"/>
        </w:rPr>
        <w:t xml:space="preserve">in loco</w:t>
      </w:r>
      <w:r w:rsidDel="00000000" w:rsidR="00000000" w:rsidRPr="00000000">
        <w:rPr>
          <w:rtl w:val="0"/>
        </w:rPr>
        <w:t xml:space="preserve"> a utilização dos recursos financeiros durante a vigência do projeto e solicitar outras informações mesmo após o término do projeto, até que seja dada a “aprovação final da prestação de contas”, bem como de utilizar para quaisquer fins institucionais toda produção oriunda dos projetos.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40.</w:t>
      </w:r>
      <w:r w:rsidDel="00000000" w:rsidR="00000000" w:rsidRPr="00000000">
        <w:rPr>
          <w:rtl w:val="0"/>
        </w:rPr>
        <w:t xml:space="preserve"> A constatação de plágio ou fraude nos projetos submetidos ou nos relatórios apresentados ensejará a devolução de recursos e a abertura de processo administrativo, com perspectiva à aplicação das penalidades previstas em Lei.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Art. 41.</w:t>
      </w:r>
      <w:r w:rsidDel="00000000" w:rsidR="00000000" w:rsidRPr="00000000">
        <w:rPr>
          <w:rtl w:val="0"/>
        </w:rPr>
        <w:t xml:space="preserve"> Os casos omissos não previstos neste Regulamento serão analisados pelo Conselho de Ensino, Pesquisa e Extensão – CONSEPE.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-5" w:right="0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Art. 42.</w:t>
      </w:r>
      <w:r w:rsidDel="00000000" w:rsidR="00000000" w:rsidRPr="00000000">
        <w:rPr>
          <w:rtl w:val="0"/>
        </w:rPr>
        <w:t xml:space="preserve"> Ficam revogadas todas as disposições em contrário a este regulamento no âmbito do IFMT, bem como este regulamento substitui a</w:t>
      </w:r>
      <w:r w:rsidDel="00000000" w:rsidR="00000000" w:rsidRPr="00000000">
        <w:rPr>
          <w:highlight w:val="white"/>
          <w:rtl w:val="0"/>
        </w:rPr>
        <w:t xml:space="preserve"> Resolução CONSUP/IFMT nº 014 de 28 de março de 2019.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74" w:line="259" w:lineRule="auto"/>
        <w:ind w:right="-3"/>
        <w:jc w:val="right"/>
        <w:rPr/>
      </w:pPr>
      <w:r w:rsidDel="00000000" w:rsidR="00000000" w:rsidRPr="00000000">
        <w:rPr>
          <w:rtl w:val="0"/>
        </w:rPr>
        <w:t xml:space="preserve">Cuiabá-MT, 14 de setembro de 2022. </w:t>
      </w:r>
    </w:p>
    <w:p w:rsidR="00000000" w:rsidDel="00000000" w:rsidP="00000000" w:rsidRDefault="00000000" w:rsidRPr="00000000" w14:paraId="000000B9">
      <w:pPr>
        <w:pStyle w:val="Heading1"/>
        <w:ind w:right="7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ind w:right="7"/>
        <w:rPr/>
      </w:pPr>
      <w:bookmarkStart w:colFirst="0" w:colLast="0" w:name="_heading=h.mkkrfll682xx" w:id="11"/>
      <w:bookmarkEnd w:id="11"/>
      <w:r w:rsidDel="00000000" w:rsidR="00000000" w:rsidRPr="00000000">
        <w:rPr>
          <w:rtl w:val="0"/>
        </w:rPr>
        <w:t xml:space="preserve">ANEXO I – Tabela de Valores de Referência </w:t>
      </w:r>
    </w:p>
    <w:p w:rsidR="00000000" w:rsidDel="00000000" w:rsidP="00000000" w:rsidRDefault="00000000" w:rsidRPr="00000000" w14:paraId="000000BB">
      <w:pPr>
        <w:spacing w:after="15" w:line="240" w:lineRule="auto"/>
        <w:ind w:left="7" w:right="0" w:firstLine="0"/>
        <w:jc w:val="center"/>
        <w:rPr/>
      </w:pPr>
      <w:r w:rsidDel="00000000" w:rsidR="00000000" w:rsidRPr="00000000">
        <w:rPr>
          <w:rtl w:val="0"/>
        </w:rPr>
        <w:t xml:space="preserve">Tabela de valores de referência dos benefícios previstos neste Regulamento de auxílios financeiros descritos nos Incisos I, II e III do artigo 9°, em consonância com a Portaria nº 512 de 13/06/2022 e Tabela CNPq </w:t>
      </w:r>
    </w:p>
    <w:p w:rsidR="00000000" w:rsidDel="00000000" w:rsidP="00000000" w:rsidRDefault="00000000" w:rsidRPr="00000000" w14:paraId="000000BC">
      <w:pPr>
        <w:spacing w:after="0" w:line="259" w:lineRule="auto"/>
        <w:ind w:left="61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1785"/>
        <w:gridCol w:w="1305"/>
        <w:gridCol w:w="1350"/>
        <w:gridCol w:w="1260"/>
        <w:tblGridChange w:id="0">
          <w:tblGrid>
            <w:gridCol w:w="3180"/>
            <w:gridCol w:w="1785"/>
            <w:gridCol w:w="1305"/>
            <w:gridCol w:w="1350"/>
            <w:gridCol w:w="1260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line="276" w:lineRule="auto"/>
              <w:ind w:left="0" w:right="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76" w:lineRule="auto"/>
              <w:ind w:left="0" w:right="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Bolsa (R$)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="276" w:lineRule="auto"/>
              <w:ind w:left="0" w:right="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TB (R$)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76" w:lineRule="auto"/>
              <w:ind w:left="0" w:right="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AFP (R$)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76" w:lineRule="auto"/>
              <w:ind w:left="160" w:right="0" w:firstLine="14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C.H. (horas) 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240" w:line="276" w:lineRule="auto"/>
              <w:ind w:left="0" w:right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Pesquisador e Extensionista (PEQ e EXT)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R$ 1.200,00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240" w:line="276" w:lineRule="auto"/>
              <w:ind w:left="0" w:right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30.000,00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8* 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Gestor de Programa (GPA)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R$ 1.800,00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240" w:line="276" w:lineRule="auto"/>
              <w:ind w:left="0" w:right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30.000,00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Gestor de Projetos (GPO)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R$ 1.800,00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240" w:line="276" w:lineRule="auto"/>
              <w:ind w:left="0" w:right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30.000,00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line="276" w:lineRule="auto"/>
              <w:ind w:left="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Coordenador de Projeto (CPO)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R$ 1.500,00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240" w:line="276" w:lineRule="auto"/>
              <w:ind w:left="0" w:right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Até 30.000,00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Colaborador Externo (CLE)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R$ 1.600,00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 (Graduação) (IPT)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R$ 800,00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Até 20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 (Técnico) (IPT)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R$ 400,00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Até 20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 (Mestrado) (MP)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R$ 1.500,00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Até 20 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 (Doutorado) (DO)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R$ 2.200,00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Até 20 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 de publicação em periódico nacional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Até 5.000,00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 de publicação em periódico internacional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Até </w:t>
            </w:r>
          </w:p>
          <w:p w:rsidR="00000000" w:rsidDel="00000000" w:rsidP="00000000" w:rsidRDefault="00000000" w:rsidRPr="00000000" w14:paraId="000000F9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U$ 2.000,00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line="276" w:lineRule="auto"/>
              <w:ind w:left="0" w:right="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Intercambista Profissional </w:t>
            </w:r>
          </w:p>
          <w:p w:rsidR="00000000" w:rsidDel="00000000" w:rsidP="00000000" w:rsidRDefault="00000000" w:rsidRPr="00000000" w14:paraId="000000FC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(visitante no país) (INT-E)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R$ 3.500,00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 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Intercambista Profissional </w:t>
            </w:r>
          </w:p>
          <w:p w:rsidR="00000000" w:rsidDel="00000000" w:rsidP="00000000" w:rsidRDefault="00000000" w:rsidRPr="00000000" w14:paraId="00000102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(visitante no país) (INT-P)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R$ 14.000,00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 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240" w:line="276" w:lineRule="auto"/>
              <w:ind w:left="0" w:right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Intercambista Profissional (no exterior) (INT-JR) DES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U$ 2.100,00 </w:t>
            </w:r>
          </w:p>
          <w:p w:rsidR="00000000" w:rsidDel="00000000" w:rsidP="00000000" w:rsidRDefault="00000000" w:rsidRPr="00000000" w14:paraId="00000109">
            <w:pPr>
              <w:spacing w:after="0" w:before="240" w:line="276" w:lineRule="auto"/>
              <w:ind w:left="0" w:right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(Dólares americanos)**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 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240" w:line="276" w:lineRule="auto"/>
              <w:ind w:left="0" w:righ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Intercambista Estudante (Técnico/ Graduação) (INT-JR)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U$ 1.300,00 </w:t>
            </w:r>
          </w:p>
          <w:p w:rsidR="00000000" w:rsidDel="00000000" w:rsidP="00000000" w:rsidRDefault="00000000" w:rsidRPr="00000000" w14:paraId="0000010F">
            <w:pPr>
              <w:spacing w:after="0" w:before="240" w:line="276" w:lineRule="auto"/>
              <w:ind w:left="0" w:right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(Dólares americanos)**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 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240" w:line="276" w:lineRule="auto"/>
              <w:ind w:left="0" w:right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Intercambista Estudante (Pós Graduação) (INT-SE)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U$ 1.300,00 </w:t>
            </w:r>
          </w:p>
          <w:p w:rsidR="00000000" w:rsidDel="00000000" w:rsidP="00000000" w:rsidRDefault="00000000" w:rsidRPr="00000000" w14:paraId="00000115">
            <w:pPr>
              <w:spacing w:after="0" w:before="240" w:line="276" w:lineRule="auto"/>
              <w:ind w:left="0" w:right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(Dólares americanos)**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line="276" w:lineRule="auto"/>
              <w:ind w:left="0" w:right="4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 </w:t>
            </w:r>
          </w:p>
        </w:tc>
      </w:tr>
    </w:tbl>
    <w:p w:rsidR="00000000" w:rsidDel="00000000" w:rsidP="00000000" w:rsidRDefault="00000000" w:rsidRPr="00000000" w14:paraId="00000119">
      <w:pPr>
        <w:spacing w:after="0" w:line="276.99999999999994" w:lineRule="auto"/>
        <w:ind w:left="-5" w:right="-8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*Valor referência para bolsa para INT-JR e INT-SE tomando como exemplo os Estados Unidos da América. O Valor dependerá do país de destino do intercambista, conforme tabela do CNPq.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76.99999999999994" w:lineRule="auto"/>
        <w:ind w:left="-5" w:right="-8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Para situações que ensejem carga horária diferente da tabela acima, os valores serão corrigidos proporcionalmente, de acordo com a referência estabelecida pelo CNPq.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6" w:line="269" w:lineRule="auto"/>
        <w:ind w:left="-5" w:right="65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Tabela CNPq: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http://memoria.cnpq.br/view/-/journal_content/56_INSTANCE_0oED/10157/971393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Portaria 512/2022: 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https://www.in.gov.br/en/web/dou/-/portaria-n-512-de-13-de-junho-de-2022-410376851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6" w:line="269" w:lineRule="auto"/>
        <w:ind w:left="-5" w:right="65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21" w:orient="portrait"/>
      <w:pgMar w:bottom="1430" w:top="2407" w:left="1301" w:right="1295" w:header="375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spacing w:after="0" w:line="259" w:lineRule="auto"/>
      <w:ind w:left="49" w:right="0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spacing w:after="0" w:line="259" w:lineRule="auto"/>
      <w:ind w:left="0" w:right="8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Regulamento do Programa de Valorização à Pesquisa, Ensino e Extensão – PVPE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spacing w:after="0" w:line="259" w:lineRule="auto"/>
      <w:ind w:left="0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de 12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spacing w:after="0" w:line="259" w:lineRule="auto"/>
      <w:ind w:left="49" w:right="0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spacing w:after="0" w:line="259" w:lineRule="auto"/>
      <w:ind w:left="0" w:right="8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Regulamento do Programa de Valorização à Pesquisa, Ensino e Extensão – PVPE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spacing w:after="0" w:line="259" w:lineRule="auto"/>
      <w:ind w:left="0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de 12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spacing w:after="0" w:line="259" w:lineRule="auto"/>
      <w:ind w:left="49" w:right="0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spacing w:after="0" w:line="259" w:lineRule="auto"/>
      <w:ind w:left="0" w:right="8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Regulamento do Programa de Valorização à Pesquisa, Ensino e Extensão – PVPE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spacing w:after="0" w:line="259" w:lineRule="auto"/>
      <w:ind w:left="0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de 12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spacing w:after="0" w:line="259" w:lineRule="auto"/>
      <w:ind w:left="44" w:right="0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3532251</wp:posOffset>
          </wp:positionH>
          <wp:positionV relativeFrom="page">
            <wp:posOffset>238125</wp:posOffset>
          </wp:positionV>
          <wp:extent cx="504825" cy="542925"/>
          <wp:effectExtent b="0" l="0" r="0" t="0"/>
          <wp:wrapSquare wrapText="bothSides" distB="0" distT="0" distL="114300" distR="114300"/>
          <wp:docPr id="9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spacing w:after="0" w:line="259" w:lineRule="auto"/>
      <w:ind w:left="0" w:right="8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spacing w:after="0" w:line="259" w:lineRule="auto"/>
      <w:ind w:left="0" w:right="8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spacing w:after="0" w:line="259" w:lineRule="auto"/>
      <w:ind w:left="0" w:right="8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spacing w:after="0" w:line="259" w:lineRule="auto"/>
      <w:ind w:left="0" w:right="8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SERVIÇO PÚBLICO FEDERAL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spacing w:after="0" w:line="259" w:lineRule="auto"/>
      <w:ind w:left="0" w:right="1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MINISTÉRIO DA EDUCAÇÃO – MEC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spacing w:after="0" w:line="259" w:lineRule="auto"/>
      <w:ind w:left="0" w:right="4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SECRETARIA DE EDUCAÇÃO PROFISSIONAL E TECNOLÓGICA – SETEC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spacing w:after="0" w:line="259" w:lineRule="auto"/>
      <w:ind w:left="0" w:right="2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INSTITUTO FEDERAL DE EDUCAÇÃO, CIÊNCIA E TECNOLOGIA DE MATO GROSSO – IFMT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spacing w:after="0" w:line="259" w:lineRule="auto"/>
      <w:ind w:left="44" w:right="0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spacing w:after="0" w:line="259" w:lineRule="auto"/>
      <w:ind w:left="44" w:right="0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3532251</wp:posOffset>
          </wp:positionH>
          <wp:positionV relativeFrom="page">
            <wp:posOffset>238125</wp:posOffset>
          </wp:positionV>
          <wp:extent cx="504825" cy="542925"/>
          <wp:effectExtent b="0" l="0" r="0" t="0"/>
          <wp:wrapSquare wrapText="bothSides" distB="0" distT="0" distL="114300" distR="114300"/>
          <wp:docPr id="9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spacing w:after="0" w:line="259" w:lineRule="auto"/>
      <w:ind w:left="0" w:right="8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SERVIÇO PÚBLICO FEDERAL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9">
    <w:pPr>
      <w:spacing w:after="0" w:line="259" w:lineRule="auto"/>
      <w:ind w:left="0" w:right="1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MINISTÉRIO DA EDUCAÇÃO – MEC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spacing w:after="0" w:line="259" w:lineRule="auto"/>
      <w:ind w:left="0" w:right="4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SECRETARIA DE EDUCAÇÃO PROFISSIONAL E TECNOLÓGICA – SETEC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spacing w:after="0" w:line="259" w:lineRule="auto"/>
      <w:ind w:left="0" w:right="2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INSTITUTO FEDERAL DE EDUCAÇÃO, CIÊNCIA E TECNOLOGIA DE MATO GROSSO – IFMT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spacing w:after="0" w:line="259" w:lineRule="auto"/>
      <w:ind w:left="44" w:right="0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spacing w:after="0" w:line="259" w:lineRule="auto"/>
      <w:ind w:left="44" w:right="0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3532251</wp:posOffset>
          </wp:positionH>
          <wp:positionV relativeFrom="page">
            <wp:posOffset>238125</wp:posOffset>
          </wp:positionV>
          <wp:extent cx="504825" cy="542925"/>
          <wp:effectExtent b="0" l="0" r="0" t="0"/>
          <wp:wrapSquare wrapText="bothSides" distB="0" distT="0" distL="114300" distR="114300"/>
          <wp:docPr id="9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spacing w:after="0" w:line="259" w:lineRule="auto"/>
      <w:ind w:left="0" w:right="8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SERVIÇO PÚBLICO FEDERAL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spacing w:after="0" w:line="259" w:lineRule="auto"/>
      <w:ind w:left="0" w:right="1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MINISTÉRIO DA EDUCAÇÃO – MEC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spacing w:after="0" w:line="259" w:lineRule="auto"/>
      <w:ind w:left="0" w:right="4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SECRETARIA DE EDUCAÇÃO PROFISSIONAL E TECNOLÓGICA – SETEC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spacing w:after="0" w:line="259" w:lineRule="auto"/>
      <w:ind w:left="0" w:right="2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INSTITUTO FEDERAL DE EDUCAÇÃO, CIÊNCIA E TECNOLOGIA DE MATO GROSSO – IFMT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spacing w:after="0" w:line="259" w:lineRule="auto"/>
      <w:ind w:left="44" w:right="0" w:firstLine="0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257" w:hanging="125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77" w:hanging="197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97" w:hanging="269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17" w:hanging="341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137" w:hanging="413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57" w:hanging="485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77" w:hanging="557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97" w:hanging="629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906" w:hanging="906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85" w:hanging="138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05" w:hanging="210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25" w:hanging="282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45" w:hanging="354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65" w:hanging="426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85" w:hanging="498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05" w:hanging="570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25" w:hanging="642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972" w:hanging="972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38" w:hanging="133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58" w:hanging="205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778" w:hanging="277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98" w:hanging="349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18" w:hanging="421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38" w:hanging="493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58" w:hanging="565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378" w:hanging="637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763" w:hanging="763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07" w:hanging="140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27" w:hanging="212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47" w:hanging="284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67" w:hanging="356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87" w:hanging="428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07" w:hanging="500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27" w:hanging="572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47" w:hanging="6447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0" w:firstLine="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982" w:hanging="982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294" w:hanging="1294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15" w:hanging="2015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735" w:hanging="2735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54" w:hanging="3454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175" w:hanging="4175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95" w:hanging="4895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15" w:hanging="5615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335" w:hanging="6335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985" w:hanging="98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40" w:hanging="134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60" w:hanging="206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780" w:hanging="278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00" w:hanging="350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20" w:hanging="422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40" w:hanging="494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60" w:hanging="566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380" w:hanging="6380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906" w:hanging="906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85" w:hanging="138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05" w:hanging="210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25" w:hanging="282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45" w:hanging="354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65" w:hanging="426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85" w:hanging="498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05" w:hanging="570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25" w:hanging="642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985" w:hanging="985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38" w:hanging="133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58" w:hanging="205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778" w:hanging="277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98" w:hanging="349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18" w:hanging="421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38" w:hanging="493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58" w:hanging="565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378" w:hanging="6378"/>
      </w:pPr>
      <w:rPr>
        <w:rFonts w:ascii="Arial" w:cs="Arial" w:eastAsia="Arial" w:hAnsi="Arial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118" w:line="270" w:lineRule="auto"/>
        <w:ind w:left="10" w:right="6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0" w:line="259" w:lineRule="auto"/>
      <w:ind w:left="10" w:right="6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0" w:line="259" w:lineRule="auto"/>
      <w:ind w:left="10" w:right="6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18" w:line="270" w:lineRule="auto"/>
      <w:ind w:left="10" w:right="6" w:hanging="10"/>
      <w:jc w:val="both"/>
    </w:pPr>
    <w:rPr>
      <w:rFonts w:ascii="Arial" w:cs="Arial" w:eastAsia="Arial" w:hAnsi="Arial"/>
      <w:color w:val="000000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20"/>
      <w:ind w:left="10" w:right="6" w:hanging="10"/>
      <w:jc w:val="center"/>
      <w:outlineLvl w:val="0"/>
    </w:pPr>
    <w:rPr>
      <w:rFonts w:ascii="Arial" w:cs="Arial" w:eastAsia="Arial" w:hAnsi="Arial"/>
      <w:b w:val="1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20"/>
      <w:ind w:left="10" w:right="6" w:hanging="10"/>
      <w:jc w:val="center"/>
      <w:outlineLvl w:val="1"/>
    </w:pPr>
    <w:rPr>
      <w:rFonts w:ascii="Arial" w:cs="Arial" w:eastAsia="Arial" w:hAnsi="Arial"/>
      <w:b w:val="1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24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4"/>
    </w:rPr>
  </w:style>
  <w:style w:type="paragraph" w:styleId="Sumrio1">
    <w:name w:val="toc 1"/>
    <w:hidden w:val="1"/>
    <w:pPr>
      <w:spacing w:after="1" w:line="327" w:lineRule="auto"/>
      <w:ind w:left="25" w:right="22" w:hanging="10"/>
    </w:pPr>
    <w:rPr>
      <w:rFonts w:ascii="Arial" w:cs="Arial" w:eastAsia="Arial" w:hAnsi="Arial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.gov.br/en/web/dou/-/portaria-n-512-de-13-de-junho-de-2022-410376851" TargetMode="External"/><Relationship Id="rId10" Type="http://schemas.openxmlformats.org/officeDocument/2006/relationships/hyperlink" Target="http://memoria.cnpq.br/view/-/journal_content/56_INSTANCE_0oED/10157/971393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emoria.cnpq.br/view/-/journal_content/56_INSTANCE_0oED/10157/971393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paineldeprecos.planejamento.gov.br/" TargetMode="External"/><Relationship Id="rId8" Type="http://schemas.openxmlformats.org/officeDocument/2006/relationships/hyperlink" Target="http://memoria.cnpq.br/view/-/journal_content/56_INSTANCE_0oED/10157/971393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s6j1w4BmHl2XsdyDIuuSVDlNAQ==">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2022-06-06T11:56:00Z</dcterms:created>
  <dc:creator>Fernanda Marques Caldeira</dc:creator>
</cp:coreProperties>
</file>